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1B14" w14:textId="1FAF98E9" w:rsidR="00E2488D" w:rsidRPr="00191545" w:rsidRDefault="002331A2" w:rsidP="002331A2">
      <w:pPr>
        <w:spacing w:line="360" w:lineRule="auto"/>
        <w:ind w:firstLine="426"/>
        <w:contextualSpacing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GIUNGLE</w:t>
      </w:r>
      <w:r w:rsidR="00033808" w:rsidRPr="00191545">
        <w:rPr>
          <w:rFonts w:ascii="Times New Roman" w:hAnsi="Times New Roman" w:cs="Times New Roman"/>
          <w:b/>
          <w:sz w:val="22"/>
          <w:szCs w:val="22"/>
        </w:rPr>
        <w:t xml:space="preserve">, FACHIRI, </w:t>
      </w:r>
      <w:r>
        <w:rPr>
          <w:rFonts w:ascii="Times New Roman" w:hAnsi="Times New Roman" w:cs="Times New Roman"/>
          <w:b/>
          <w:sz w:val="22"/>
          <w:szCs w:val="22"/>
        </w:rPr>
        <w:t>BAIADERE</w:t>
      </w:r>
      <w:r w:rsidR="00033808">
        <w:rPr>
          <w:rFonts w:ascii="Times New Roman" w:hAnsi="Times New Roman" w:cs="Times New Roman"/>
          <w:b/>
          <w:sz w:val="22"/>
          <w:szCs w:val="22"/>
        </w:rPr>
        <w:t>: L’INDIA NELL’IMMAGINARIO EUROPEO</w:t>
      </w:r>
    </w:p>
    <w:p w14:paraId="793C1159" w14:textId="77777777" w:rsidR="00E33CF3" w:rsidRPr="00191545" w:rsidRDefault="00E33CF3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C56BBD0" w14:textId="77777777" w:rsidR="00A06C51" w:rsidRPr="00191545" w:rsidRDefault="00A06C51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259098" w14:textId="77FA6DEA" w:rsidR="00EF1843" w:rsidRDefault="002331A2" w:rsidP="00B25E83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Giungle</w:t>
      </w:r>
      <w:r w:rsidR="00A06C51" w:rsidRPr="00191545">
        <w:rPr>
          <w:rFonts w:ascii="Times New Roman" w:hAnsi="Times New Roman" w:cs="Times New Roman"/>
          <w:sz w:val="22"/>
          <w:szCs w:val="22"/>
        </w:rPr>
        <w:t xml:space="preserve">, fachiri, </w:t>
      </w:r>
      <w:r>
        <w:rPr>
          <w:rFonts w:ascii="Times New Roman" w:hAnsi="Times New Roman" w:cs="Times New Roman"/>
          <w:sz w:val="22"/>
          <w:szCs w:val="22"/>
        </w:rPr>
        <w:t>baiadere</w:t>
      </w:r>
      <w:r w:rsidR="00A06C51" w:rsidRPr="00191545">
        <w:rPr>
          <w:rFonts w:ascii="Times New Roman" w:hAnsi="Times New Roman" w:cs="Times New Roman"/>
          <w:sz w:val="22"/>
          <w:szCs w:val="22"/>
        </w:rPr>
        <w:t>: una definizione davvero riduttiva pe</w:t>
      </w:r>
      <w:r w:rsidR="006311B2" w:rsidRPr="00191545">
        <w:rPr>
          <w:rFonts w:ascii="Times New Roman" w:hAnsi="Times New Roman" w:cs="Times New Roman"/>
          <w:sz w:val="22"/>
          <w:szCs w:val="22"/>
        </w:rPr>
        <w:t>r</w:t>
      </w:r>
      <w:r w:rsidR="00A06C51" w:rsidRPr="00191545">
        <w:rPr>
          <w:rFonts w:ascii="Times New Roman" w:hAnsi="Times New Roman" w:cs="Times New Roman"/>
          <w:sz w:val="22"/>
          <w:szCs w:val="22"/>
        </w:rPr>
        <w:t xml:space="preserve"> una cultura </w:t>
      </w:r>
      <w:r w:rsidR="006311B2" w:rsidRPr="00191545">
        <w:rPr>
          <w:rFonts w:ascii="Times New Roman" w:hAnsi="Times New Roman" w:cs="Times New Roman"/>
          <w:sz w:val="22"/>
          <w:szCs w:val="22"/>
        </w:rPr>
        <w:t xml:space="preserve">ricchissima e </w:t>
      </w:r>
      <w:r w:rsidR="00A06C51" w:rsidRPr="00191545">
        <w:rPr>
          <w:rFonts w:ascii="Times New Roman" w:hAnsi="Times New Roman" w:cs="Times New Roman"/>
          <w:sz w:val="22"/>
          <w:szCs w:val="22"/>
        </w:rPr>
        <w:t>plurimillenaria</w:t>
      </w:r>
      <w:r w:rsidR="00B67DCF" w:rsidRPr="00191545">
        <w:rPr>
          <w:rFonts w:ascii="Times New Roman" w:hAnsi="Times New Roman" w:cs="Times New Roman"/>
          <w:sz w:val="22"/>
          <w:szCs w:val="22"/>
        </w:rPr>
        <w:t xml:space="preserve"> come quella i</w:t>
      </w:r>
      <w:r w:rsidR="00AA220B" w:rsidRPr="00191545">
        <w:rPr>
          <w:rFonts w:ascii="Times New Roman" w:hAnsi="Times New Roman" w:cs="Times New Roman"/>
          <w:sz w:val="22"/>
          <w:szCs w:val="22"/>
        </w:rPr>
        <w:t>ndiana;</w:t>
      </w:r>
      <w:r w:rsidR="00B67DCF" w:rsidRPr="00191545">
        <w:rPr>
          <w:rFonts w:ascii="Times New Roman" w:hAnsi="Times New Roman" w:cs="Times New Roman"/>
          <w:sz w:val="22"/>
          <w:szCs w:val="22"/>
        </w:rPr>
        <w:t xml:space="preserve"> e</w:t>
      </w:r>
      <w:r w:rsidR="006311B2" w:rsidRPr="00191545">
        <w:rPr>
          <w:rFonts w:ascii="Times New Roman" w:hAnsi="Times New Roman" w:cs="Times New Roman"/>
          <w:sz w:val="22"/>
          <w:szCs w:val="22"/>
        </w:rPr>
        <w:t xml:space="preserve">ppure l’immaginario europeo per secoli ha </w:t>
      </w:r>
      <w:r w:rsidR="003C4FBA" w:rsidRPr="00191545">
        <w:rPr>
          <w:rFonts w:ascii="Times New Roman" w:hAnsi="Times New Roman" w:cs="Times New Roman"/>
          <w:sz w:val="22"/>
          <w:szCs w:val="22"/>
        </w:rPr>
        <w:t>associato</w:t>
      </w:r>
      <w:r w:rsidR="006311B2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B221D5" w:rsidRPr="00191545">
        <w:rPr>
          <w:rFonts w:ascii="Times New Roman" w:hAnsi="Times New Roman" w:cs="Times New Roman"/>
          <w:sz w:val="22"/>
          <w:szCs w:val="22"/>
        </w:rPr>
        <w:t>al</w:t>
      </w:r>
      <w:r w:rsidR="006311B2" w:rsidRPr="00191545">
        <w:rPr>
          <w:rFonts w:ascii="Times New Roman" w:hAnsi="Times New Roman" w:cs="Times New Roman"/>
          <w:sz w:val="22"/>
          <w:szCs w:val="22"/>
        </w:rPr>
        <w:t xml:space="preserve">l’India </w:t>
      </w:r>
      <w:r w:rsidR="00B221D5" w:rsidRPr="00191545">
        <w:rPr>
          <w:rFonts w:ascii="Times New Roman" w:hAnsi="Times New Roman" w:cs="Times New Roman"/>
          <w:sz w:val="22"/>
          <w:szCs w:val="22"/>
        </w:rPr>
        <w:t>ambienti e figure che rappresentavano il misterioso, il diverso e il trasgressivo.</w:t>
      </w:r>
      <w:r w:rsidR="00955E3C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8E3965" w:rsidRPr="00191545">
        <w:rPr>
          <w:rFonts w:ascii="Times New Roman" w:hAnsi="Times New Roman" w:cs="Times New Roman"/>
          <w:sz w:val="22"/>
          <w:szCs w:val="22"/>
        </w:rPr>
        <w:t xml:space="preserve">Incontrando </w:t>
      </w:r>
      <w:r w:rsidR="00E44ECD" w:rsidRPr="00191545">
        <w:rPr>
          <w:rFonts w:ascii="Times New Roman" w:hAnsi="Times New Roman" w:cs="Times New Roman"/>
          <w:sz w:val="22"/>
          <w:szCs w:val="22"/>
        </w:rPr>
        <w:t xml:space="preserve">ciò che è lontano, sconosciuto e </w:t>
      </w:r>
      <w:r w:rsidR="007D2F29" w:rsidRPr="00191545">
        <w:rPr>
          <w:rFonts w:ascii="Times New Roman" w:hAnsi="Times New Roman" w:cs="Times New Roman"/>
          <w:sz w:val="22"/>
          <w:szCs w:val="22"/>
        </w:rPr>
        <w:t>alieno</w:t>
      </w:r>
      <w:r w:rsidR="008E3965" w:rsidRPr="00191545">
        <w:rPr>
          <w:rFonts w:ascii="Times New Roman" w:hAnsi="Times New Roman" w:cs="Times New Roman"/>
          <w:sz w:val="22"/>
          <w:szCs w:val="22"/>
        </w:rPr>
        <w:t>, il singolo e la collettività tendono a costruire un repertorio di rappresentazioni che, partendo da dati oggettivi della realtà, li reinterpretano in maniera fantasiosa, simbolica, mitica.</w:t>
      </w:r>
      <w:r w:rsidR="00D60D84" w:rsidRPr="00191545">
        <w:rPr>
          <w:rFonts w:ascii="Times New Roman" w:hAnsi="Times New Roman" w:cs="Times New Roman"/>
          <w:sz w:val="22"/>
          <w:szCs w:val="22"/>
        </w:rPr>
        <w:t xml:space="preserve"> La cultura estranea diventa allora un luogo dell’</w:t>
      </w:r>
      <w:r w:rsidR="00935D88" w:rsidRPr="00191545">
        <w:rPr>
          <w:rFonts w:ascii="Times New Roman" w:hAnsi="Times New Roman" w:cs="Times New Roman"/>
          <w:sz w:val="22"/>
          <w:szCs w:val="22"/>
        </w:rPr>
        <w:t xml:space="preserve">altrove, </w:t>
      </w:r>
      <w:r w:rsidR="00C06308" w:rsidRPr="00191545">
        <w:rPr>
          <w:rFonts w:ascii="Times New Roman" w:hAnsi="Times New Roman" w:cs="Times New Roman"/>
          <w:sz w:val="22"/>
          <w:szCs w:val="22"/>
        </w:rPr>
        <w:t>dove</w:t>
      </w:r>
      <w:r w:rsidR="007D2F29" w:rsidRPr="00191545">
        <w:rPr>
          <w:rFonts w:ascii="Times New Roman" w:hAnsi="Times New Roman" w:cs="Times New Roman"/>
          <w:sz w:val="22"/>
          <w:szCs w:val="22"/>
        </w:rPr>
        <w:t xml:space="preserve"> proiettare tutta una serie d’</w:t>
      </w:r>
      <w:r w:rsidR="00935D88" w:rsidRPr="00191545">
        <w:rPr>
          <w:rFonts w:ascii="Times New Roman" w:hAnsi="Times New Roman" w:cs="Times New Roman"/>
          <w:sz w:val="22"/>
          <w:szCs w:val="22"/>
        </w:rPr>
        <w:t xml:space="preserve">istanze vagheggiate, molto spesso represse o rimosse </w:t>
      </w:r>
      <w:r w:rsidR="003A6D64">
        <w:rPr>
          <w:rFonts w:ascii="Times New Roman" w:hAnsi="Times New Roman" w:cs="Times New Roman"/>
          <w:sz w:val="22"/>
          <w:szCs w:val="22"/>
        </w:rPr>
        <w:t>all’interno del</w:t>
      </w:r>
      <w:r w:rsidR="00935D88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3A6D64">
        <w:rPr>
          <w:rFonts w:ascii="Times New Roman" w:hAnsi="Times New Roman" w:cs="Times New Roman"/>
          <w:sz w:val="22"/>
          <w:szCs w:val="22"/>
        </w:rPr>
        <w:t>proprio</w:t>
      </w:r>
      <w:r w:rsidR="007D2F29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3A6D64">
        <w:rPr>
          <w:rFonts w:ascii="Times New Roman" w:hAnsi="Times New Roman" w:cs="Times New Roman"/>
          <w:sz w:val="22"/>
          <w:szCs w:val="22"/>
        </w:rPr>
        <w:t>contesto</w:t>
      </w:r>
      <w:r w:rsidR="00935D88" w:rsidRPr="00191545">
        <w:rPr>
          <w:rFonts w:ascii="Times New Roman" w:hAnsi="Times New Roman" w:cs="Times New Roman"/>
          <w:sz w:val="22"/>
          <w:szCs w:val="22"/>
        </w:rPr>
        <w:t>.</w:t>
      </w:r>
    </w:p>
    <w:p w14:paraId="4E13AB3F" w14:textId="5E159225" w:rsidR="000F6229" w:rsidRPr="00191545" w:rsidRDefault="00240B99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Il primo </w:t>
      </w:r>
      <w:r w:rsidR="007B6EEA" w:rsidRPr="00191545">
        <w:rPr>
          <w:rFonts w:ascii="Times New Roman" w:hAnsi="Times New Roman" w:cs="Times New Roman"/>
          <w:sz w:val="22"/>
          <w:szCs w:val="22"/>
        </w:rPr>
        <w:t>incontro con l’Asia</w:t>
      </w:r>
      <w:r w:rsidRPr="00191545">
        <w:rPr>
          <w:rFonts w:ascii="Times New Roman" w:hAnsi="Times New Roman" w:cs="Times New Roman"/>
          <w:sz w:val="22"/>
          <w:szCs w:val="22"/>
        </w:rPr>
        <w:t xml:space="preserve"> risale </w:t>
      </w:r>
      <w:r w:rsidR="00A722CB" w:rsidRPr="00191545">
        <w:rPr>
          <w:rFonts w:ascii="Times New Roman" w:hAnsi="Times New Roman" w:cs="Times New Roman"/>
          <w:sz w:val="22"/>
          <w:szCs w:val="22"/>
        </w:rPr>
        <w:t>alla contesa</w:t>
      </w:r>
      <w:r w:rsidRPr="00191545">
        <w:rPr>
          <w:rFonts w:ascii="Times New Roman" w:hAnsi="Times New Roman" w:cs="Times New Roman"/>
          <w:sz w:val="22"/>
          <w:szCs w:val="22"/>
        </w:rPr>
        <w:t xml:space="preserve"> fra la Grecia e la Persia</w:t>
      </w:r>
      <w:r w:rsidR="007B6EEA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4F369C" w:rsidRPr="00191545">
        <w:rPr>
          <w:rFonts w:ascii="Times New Roman" w:hAnsi="Times New Roman" w:cs="Times New Roman"/>
          <w:sz w:val="22"/>
          <w:szCs w:val="22"/>
        </w:rPr>
        <w:t xml:space="preserve">e </w:t>
      </w:r>
      <w:r w:rsidR="000F6229" w:rsidRPr="00191545">
        <w:rPr>
          <w:rFonts w:ascii="Times New Roman" w:hAnsi="Times New Roman" w:cs="Times New Roman"/>
          <w:sz w:val="22"/>
          <w:szCs w:val="22"/>
        </w:rPr>
        <w:t>determinò</w:t>
      </w:r>
      <w:r w:rsidR="004F369C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Pr="00191545">
        <w:rPr>
          <w:rFonts w:ascii="Times New Roman" w:hAnsi="Times New Roman" w:cs="Times New Roman"/>
          <w:sz w:val="22"/>
          <w:szCs w:val="22"/>
        </w:rPr>
        <w:t xml:space="preserve">pesantemente </w:t>
      </w:r>
      <w:r w:rsidR="004F369C" w:rsidRPr="00191545">
        <w:rPr>
          <w:rFonts w:ascii="Times New Roman" w:hAnsi="Times New Roman" w:cs="Times New Roman"/>
          <w:sz w:val="22"/>
          <w:szCs w:val="22"/>
        </w:rPr>
        <w:t xml:space="preserve">il sentire europeo nei confronti </w:t>
      </w:r>
      <w:r w:rsidRPr="00191545">
        <w:rPr>
          <w:rFonts w:ascii="Times New Roman" w:hAnsi="Times New Roman" w:cs="Times New Roman"/>
          <w:sz w:val="22"/>
          <w:szCs w:val="22"/>
        </w:rPr>
        <w:t>del mondo orientale</w:t>
      </w:r>
      <w:r w:rsidR="004F369C" w:rsidRPr="00191545">
        <w:rPr>
          <w:rFonts w:ascii="Times New Roman" w:hAnsi="Times New Roman" w:cs="Times New Roman"/>
          <w:sz w:val="22"/>
          <w:szCs w:val="22"/>
        </w:rPr>
        <w:t>: Erodoto, storico gr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eco del V sec. a.C., nelle sue </w:t>
      </w:r>
      <w:r w:rsidR="00827017" w:rsidRPr="00191545">
        <w:rPr>
          <w:rFonts w:ascii="Times New Roman" w:hAnsi="Times New Roman" w:cs="Times New Roman"/>
          <w:i/>
          <w:sz w:val="22"/>
          <w:szCs w:val="22"/>
        </w:rPr>
        <w:t>Storie</w:t>
      </w:r>
      <w:r w:rsidR="004F369C" w:rsidRPr="00191545">
        <w:rPr>
          <w:rFonts w:ascii="Times New Roman" w:hAnsi="Times New Roman" w:cs="Times New Roman"/>
          <w:sz w:val="22"/>
          <w:szCs w:val="22"/>
        </w:rPr>
        <w:t xml:space="preserve"> – molto rimaneggiate dai grammatici alessandrini - descrisse il conflitto fra i greci e i persiani non solo come una guerra fra due popoli, ma come lo scontro tra due mondi, tirannico e barbarico quello persiano, democratico e civile quello greco.</w:t>
      </w:r>
      <w:r w:rsidR="00A722CB" w:rsidRPr="001915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F73DEB" w14:textId="43E6BFFF" w:rsidR="005C6A49" w:rsidRPr="00191545" w:rsidRDefault="00BE6646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Nel 3</w:t>
      </w:r>
      <w:r w:rsidR="008D119B" w:rsidRPr="00191545">
        <w:rPr>
          <w:rFonts w:ascii="Times New Roman" w:hAnsi="Times New Roman" w:cs="Times New Roman"/>
          <w:sz w:val="22"/>
          <w:szCs w:val="22"/>
        </w:rPr>
        <w:t xml:space="preserve">26 a.C. Alessandro Magno 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mosse </w:t>
      </w:r>
      <w:r w:rsidRPr="00191545">
        <w:rPr>
          <w:rFonts w:ascii="Times New Roman" w:hAnsi="Times New Roman" w:cs="Times New Roman"/>
          <w:sz w:val="22"/>
          <w:szCs w:val="22"/>
        </w:rPr>
        <w:t xml:space="preserve">verso quella che era stata la </w:t>
      </w:r>
      <w:r w:rsidR="006E116C">
        <w:rPr>
          <w:rFonts w:ascii="Times New Roman" w:hAnsi="Times New Roman" w:cs="Times New Roman"/>
          <w:sz w:val="22"/>
          <w:szCs w:val="22"/>
        </w:rPr>
        <w:t>provincia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F13111">
        <w:rPr>
          <w:rFonts w:ascii="Times New Roman" w:hAnsi="Times New Roman" w:cs="Times New Roman"/>
          <w:sz w:val="22"/>
          <w:szCs w:val="22"/>
        </w:rPr>
        <w:t xml:space="preserve">più lontana </w:t>
      </w:r>
      <w:r w:rsidRPr="00191545">
        <w:rPr>
          <w:rFonts w:ascii="Times New Roman" w:hAnsi="Times New Roman" w:cs="Times New Roman"/>
          <w:sz w:val="22"/>
          <w:szCs w:val="22"/>
        </w:rPr>
        <w:t>dell’Impero Persiano e che ora faceva parte delle sue conquiste. Era attratto dalla fama di ricchezza e mistero che avvolgeva quelle aree – oggi nella zona afgano/pakistana - e dai racconti favolosi che circolavano nell’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Ellade</w:t>
      </w:r>
      <w:proofErr w:type="spellEnd"/>
      <w:r w:rsidRPr="00191545">
        <w:rPr>
          <w:rFonts w:ascii="Times New Roman" w:hAnsi="Times New Roman" w:cs="Times New Roman"/>
          <w:sz w:val="22"/>
          <w:szCs w:val="22"/>
        </w:rPr>
        <w:t>. Benché non fosse il primo incontro tra Greci e Indiani, la spedizione di Alessandr</w:t>
      </w:r>
      <w:r w:rsidR="008D119B" w:rsidRPr="00191545">
        <w:rPr>
          <w:rFonts w:ascii="Times New Roman" w:hAnsi="Times New Roman" w:cs="Times New Roman"/>
          <w:sz w:val="22"/>
          <w:szCs w:val="22"/>
        </w:rPr>
        <w:t xml:space="preserve">o fu particolarmente importante, </w:t>
      </w:r>
      <w:r w:rsidRPr="00191545">
        <w:rPr>
          <w:rFonts w:ascii="Times New Roman" w:hAnsi="Times New Roman" w:cs="Times New Roman"/>
          <w:sz w:val="22"/>
          <w:szCs w:val="22"/>
        </w:rPr>
        <w:t xml:space="preserve">perché segnò l’inizio di </w:t>
      </w:r>
      <w:r w:rsidR="008D119B" w:rsidRPr="00191545">
        <w:rPr>
          <w:rFonts w:ascii="Times New Roman" w:hAnsi="Times New Roman" w:cs="Times New Roman"/>
          <w:sz w:val="22"/>
          <w:szCs w:val="22"/>
        </w:rPr>
        <w:t xml:space="preserve">quelle </w:t>
      </w:r>
      <w:r w:rsidRPr="00191545">
        <w:rPr>
          <w:rFonts w:ascii="Times New Roman" w:hAnsi="Times New Roman" w:cs="Times New Roman"/>
          <w:sz w:val="22"/>
          <w:szCs w:val="22"/>
        </w:rPr>
        <w:t xml:space="preserve">proiezioni e </w:t>
      </w:r>
      <w:r w:rsidR="008D119B" w:rsidRPr="00191545">
        <w:rPr>
          <w:rFonts w:ascii="Times New Roman" w:hAnsi="Times New Roman" w:cs="Times New Roman"/>
          <w:sz w:val="22"/>
          <w:szCs w:val="22"/>
        </w:rPr>
        <w:t xml:space="preserve">fantasie </w:t>
      </w:r>
      <w:r w:rsidRPr="00191545">
        <w:rPr>
          <w:rFonts w:ascii="Times New Roman" w:hAnsi="Times New Roman" w:cs="Times New Roman"/>
          <w:sz w:val="22"/>
          <w:szCs w:val="22"/>
        </w:rPr>
        <w:t xml:space="preserve">che ancora oggi condizionano il rapportarsi all’India. I resoconti dei cronisti al seguito dell’esercito greco, </w:t>
      </w:r>
      <w:r w:rsidR="00A2439C">
        <w:rPr>
          <w:rFonts w:ascii="Times New Roman" w:hAnsi="Times New Roman" w:cs="Times New Roman"/>
          <w:sz w:val="22"/>
          <w:szCs w:val="22"/>
        </w:rPr>
        <w:t>perduti nella versione originale</w:t>
      </w:r>
      <w:r w:rsidRPr="00191545">
        <w:rPr>
          <w:rFonts w:ascii="Times New Roman" w:hAnsi="Times New Roman" w:cs="Times New Roman"/>
          <w:sz w:val="22"/>
          <w:szCs w:val="22"/>
        </w:rPr>
        <w:t xml:space="preserve">, </w:t>
      </w:r>
      <w:r w:rsidR="00827017" w:rsidRPr="00191545">
        <w:rPr>
          <w:rFonts w:ascii="Times New Roman" w:hAnsi="Times New Roman" w:cs="Times New Roman"/>
          <w:sz w:val="22"/>
          <w:szCs w:val="22"/>
        </w:rPr>
        <w:t>vennero riportati nelle citazioni successive</w:t>
      </w:r>
      <w:r w:rsidRPr="00191545">
        <w:rPr>
          <w:rFonts w:ascii="Times New Roman" w:hAnsi="Times New Roman" w:cs="Times New Roman"/>
          <w:sz w:val="22"/>
          <w:szCs w:val="22"/>
        </w:rPr>
        <w:t xml:space="preserve"> ampliando i dati sorprendenti ed esotici e costituendo il nucleo delle credenze più affascinanti e disparate sull’India immaginaria. </w:t>
      </w:r>
    </w:p>
    <w:p w14:paraId="271DDD00" w14:textId="660AF405" w:rsidR="00DA0A48" w:rsidRPr="00191545" w:rsidRDefault="00DA0A48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Vent’anni dopo la spedizione di Alessandro, 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Seleuco</w:t>
      </w:r>
      <w:proofErr w:type="spellEnd"/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Nicatore</w:t>
      </w:r>
      <w:proofErr w:type="spellEnd"/>
      <w:r w:rsidR="0079252D" w:rsidRPr="00191545">
        <w:rPr>
          <w:rFonts w:ascii="Times New Roman" w:hAnsi="Times New Roman" w:cs="Times New Roman"/>
          <w:sz w:val="22"/>
          <w:szCs w:val="22"/>
        </w:rPr>
        <w:t xml:space="preserve">, che alla morte di Alessandro si era ritagliato un regno esteso fino </w:t>
      </w:r>
      <w:r w:rsidR="00827017" w:rsidRPr="00191545">
        <w:rPr>
          <w:rFonts w:ascii="Times New Roman" w:hAnsi="Times New Roman" w:cs="Times New Roman"/>
          <w:sz w:val="22"/>
          <w:szCs w:val="22"/>
        </w:rPr>
        <w:t>al fiume Indo, siglò</w:t>
      </w:r>
      <w:r w:rsidR="00B00A87" w:rsidRPr="00191545">
        <w:rPr>
          <w:rFonts w:ascii="Times New Roman" w:hAnsi="Times New Roman" w:cs="Times New Roman"/>
          <w:sz w:val="22"/>
          <w:szCs w:val="22"/>
        </w:rPr>
        <w:t xml:space="preserve"> un trattato con il sovrano </w:t>
      </w:r>
      <w:r w:rsidR="00C86A8D">
        <w:rPr>
          <w:rFonts w:ascii="Times New Roman" w:hAnsi="Times New Roman" w:cs="Times New Roman"/>
          <w:sz w:val="22"/>
          <w:szCs w:val="22"/>
        </w:rPr>
        <w:t>indiano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27017" w:rsidRPr="00191545">
        <w:rPr>
          <w:rFonts w:ascii="Times New Roman" w:hAnsi="Times New Roman" w:cs="Times New Roman"/>
          <w:sz w:val="22"/>
          <w:szCs w:val="22"/>
        </w:rPr>
        <w:t>Candragupta</w:t>
      </w:r>
      <w:proofErr w:type="spellEnd"/>
      <w:r w:rsidR="00827017" w:rsidRPr="00191545">
        <w:rPr>
          <w:rFonts w:ascii="Times New Roman" w:hAnsi="Times New Roman" w:cs="Times New Roman"/>
          <w:sz w:val="22"/>
          <w:szCs w:val="22"/>
        </w:rPr>
        <w:t xml:space="preserve"> e inviò</w:t>
      </w:r>
      <w:r w:rsidR="00B00A87" w:rsidRPr="00191545">
        <w:rPr>
          <w:rFonts w:ascii="Times New Roman" w:hAnsi="Times New Roman" w:cs="Times New Roman"/>
          <w:sz w:val="22"/>
          <w:szCs w:val="22"/>
        </w:rPr>
        <w:t xml:space="preserve"> nel 303 a.C. alla corte di questi l’ambasciatore </w:t>
      </w:r>
      <w:proofErr w:type="spellStart"/>
      <w:r w:rsidR="00B00A87" w:rsidRPr="00191545">
        <w:rPr>
          <w:rFonts w:ascii="Times New Roman" w:hAnsi="Times New Roman" w:cs="Times New Roman"/>
          <w:sz w:val="22"/>
          <w:szCs w:val="22"/>
        </w:rPr>
        <w:t>Megastene</w:t>
      </w:r>
      <w:proofErr w:type="spellEnd"/>
      <w:r w:rsidR="00827017" w:rsidRPr="00191545">
        <w:rPr>
          <w:rFonts w:ascii="Times New Roman" w:hAnsi="Times New Roman" w:cs="Times New Roman"/>
          <w:sz w:val="22"/>
          <w:szCs w:val="22"/>
        </w:rPr>
        <w:t>. A questi si devono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le </w:t>
      </w:r>
      <w:proofErr w:type="spellStart"/>
      <w:r w:rsidR="00C17AFA" w:rsidRPr="00191545">
        <w:rPr>
          <w:rFonts w:ascii="Times New Roman" w:hAnsi="Times New Roman" w:cs="Times New Roman"/>
          <w:i/>
          <w:sz w:val="22"/>
          <w:szCs w:val="22"/>
        </w:rPr>
        <w:t>Indika</w:t>
      </w:r>
      <w:proofErr w:type="spellEnd"/>
      <w:r w:rsidRPr="00191545">
        <w:rPr>
          <w:rFonts w:ascii="Times New Roman" w:hAnsi="Times New Roman" w:cs="Times New Roman"/>
          <w:sz w:val="22"/>
          <w:szCs w:val="22"/>
        </w:rPr>
        <w:t>, “Le notizie sull’India”, andate purtroppo perdute</w:t>
      </w:r>
      <w:r w:rsidR="00B00A87" w:rsidRPr="00191545">
        <w:rPr>
          <w:rFonts w:ascii="Times New Roman" w:hAnsi="Times New Roman" w:cs="Times New Roman"/>
          <w:sz w:val="22"/>
          <w:szCs w:val="22"/>
        </w:rPr>
        <w:t>.</w:t>
      </w:r>
      <w:r w:rsidR="0093070D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C17AFA" w:rsidRPr="00191545">
        <w:rPr>
          <w:rFonts w:ascii="Times New Roman" w:hAnsi="Times New Roman" w:cs="Times New Roman"/>
          <w:sz w:val="22"/>
          <w:szCs w:val="22"/>
        </w:rPr>
        <w:t>Anche</w:t>
      </w:r>
      <w:r w:rsidR="0093070D"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Arriano</w:t>
      </w:r>
      <w:proofErr w:type="spellEnd"/>
      <w:r w:rsidR="0093070D" w:rsidRPr="00191545">
        <w:rPr>
          <w:rFonts w:ascii="Times New Roman" w:hAnsi="Times New Roman" w:cs="Times New Roman"/>
          <w:sz w:val="22"/>
          <w:szCs w:val="22"/>
        </w:rPr>
        <w:t xml:space="preserve"> (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I a.C. - </w:t>
      </w:r>
      <w:r w:rsidRPr="00191545">
        <w:rPr>
          <w:rFonts w:ascii="Times New Roman" w:hAnsi="Times New Roman" w:cs="Times New Roman"/>
          <w:sz w:val="22"/>
          <w:szCs w:val="22"/>
        </w:rPr>
        <w:t>I d.C.</w:t>
      </w:r>
      <w:r w:rsidR="0093070D" w:rsidRPr="00191545">
        <w:rPr>
          <w:rFonts w:ascii="Times New Roman" w:hAnsi="Times New Roman" w:cs="Times New Roman"/>
          <w:sz w:val="22"/>
          <w:szCs w:val="22"/>
        </w:rPr>
        <w:t>)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827017" w:rsidRPr="00191545">
        <w:rPr>
          <w:rFonts w:ascii="Times New Roman" w:hAnsi="Times New Roman" w:cs="Times New Roman"/>
          <w:sz w:val="22"/>
          <w:szCs w:val="22"/>
        </w:rPr>
        <w:t>scrisse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un</w:t>
      </w:r>
      <w:r w:rsidR="00D63921">
        <w:rPr>
          <w:rFonts w:ascii="Times New Roman" w:hAnsi="Times New Roman" w:cs="Times New Roman"/>
          <w:sz w:val="22"/>
          <w:szCs w:val="22"/>
        </w:rPr>
        <w:t>’opera dallo stesso titolo,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attingendo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93070D" w:rsidRPr="00191545">
        <w:rPr>
          <w:rFonts w:ascii="Times New Roman" w:hAnsi="Times New Roman" w:cs="Times New Roman"/>
          <w:sz w:val="22"/>
          <w:szCs w:val="22"/>
        </w:rPr>
        <w:t>da</w:t>
      </w:r>
      <w:r w:rsidRPr="00191545">
        <w:rPr>
          <w:rFonts w:ascii="Times New Roman" w:hAnsi="Times New Roman" w:cs="Times New Roman"/>
          <w:sz w:val="22"/>
          <w:szCs w:val="22"/>
        </w:rPr>
        <w:t xml:space="preserve"> Nearco</w:t>
      </w:r>
      <w:r w:rsidR="0093070D" w:rsidRPr="00191545">
        <w:rPr>
          <w:rFonts w:ascii="Times New Roman" w:hAnsi="Times New Roman" w:cs="Times New Roman"/>
          <w:sz w:val="22"/>
          <w:szCs w:val="22"/>
        </w:rPr>
        <w:t>, ammiraglio di Alessandro, e da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 Eratostene di Cirene (II - </w:t>
      </w:r>
      <w:r w:rsidRPr="00191545">
        <w:rPr>
          <w:rFonts w:ascii="Times New Roman" w:hAnsi="Times New Roman" w:cs="Times New Roman"/>
          <w:sz w:val="22"/>
          <w:szCs w:val="22"/>
        </w:rPr>
        <w:t>I a.C.</w:t>
      </w:r>
      <w:r w:rsidR="00827017" w:rsidRPr="00191545">
        <w:rPr>
          <w:rFonts w:ascii="Times New Roman" w:hAnsi="Times New Roman" w:cs="Times New Roman"/>
          <w:sz w:val="22"/>
          <w:szCs w:val="22"/>
        </w:rPr>
        <w:t>):</w:t>
      </w:r>
      <w:r w:rsidR="0093070D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827017" w:rsidRPr="00191545">
        <w:rPr>
          <w:rFonts w:ascii="Times New Roman" w:hAnsi="Times New Roman" w:cs="Times New Roman"/>
          <w:sz w:val="22"/>
          <w:szCs w:val="22"/>
        </w:rPr>
        <w:t>di quest’ultimo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17AFA" w:rsidRPr="00191545">
        <w:rPr>
          <w:rFonts w:ascii="Times New Roman" w:hAnsi="Times New Roman" w:cs="Times New Roman"/>
          <w:sz w:val="22"/>
          <w:szCs w:val="22"/>
        </w:rPr>
        <w:t>Strabone</w:t>
      </w:r>
      <w:proofErr w:type="spellEnd"/>
      <w:r w:rsidR="00C17AFA" w:rsidRPr="00191545">
        <w:rPr>
          <w:rFonts w:ascii="Times New Roman" w:hAnsi="Times New Roman" w:cs="Times New Roman"/>
          <w:sz w:val="22"/>
          <w:szCs w:val="22"/>
        </w:rPr>
        <w:t xml:space="preserve">, </w:t>
      </w:r>
      <w:r w:rsidR="0093070D" w:rsidRPr="00191545">
        <w:rPr>
          <w:rFonts w:ascii="Times New Roman" w:hAnsi="Times New Roman" w:cs="Times New Roman"/>
          <w:sz w:val="22"/>
          <w:szCs w:val="22"/>
        </w:rPr>
        <w:t>autore di una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Pr="00191545">
        <w:rPr>
          <w:rFonts w:ascii="Times New Roman" w:hAnsi="Times New Roman" w:cs="Times New Roman"/>
          <w:i/>
          <w:sz w:val="22"/>
          <w:szCs w:val="22"/>
        </w:rPr>
        <w:t>Geografia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nel I sec. a.C., 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riportò </w:t>
      </w:r>
      <w:r w:rsidR="005B156A">
        <w:rPr>
          <w:rFonts w:ascii="Times New Roman" w:hAnsi="Times New Roman" w:cs="Times New Roman"/>
          <w:sz w:val="22"/>
          <w:szCs w:val="22"/>
        </w:rPr>
        <w:t>l’invito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a non contrapporre Greci e barbari, perché </w:t>
      </w:r>
      <w:r w:rsidR="00827017" w:rsidRPr="00191545">
        <w:rPr>
          <w:rFonts w:ascii="Times New Roman" w:hAnsi="Times New Roman" w:cs="Times New Roman"/>
          <w:sz w:val="22"/>
          <w:szCs w:val="22"/>
        </w:rPr>
        <w:t xml:space="preserve">pure 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fra questi ultimi vi </w:t>
      </w:r>
      <w:r w:rsidR="00827017" w:rsidRPr="00191545">
        <w:rPr>
          <w:rFonts w:ascii="Times New Roman" w:hAnsi="Times New Roman" w:cs="Times New Roman"/>
          <w:sz w:val="22"/>
          <w:szCs w:val="22"/>
        </w:rPr>
        <w:t>erano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uomini di grande civiltà. 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Altre notizie sull’India </w:t>
      </w:r>
      <w:r w:rsidR="00A67D82" w:rsidRPr="00191545">
        <w:rPr>
          <w:rFonts w:ascii="Times New Roman" w:hAnsi="Times New Roman" w:cs="Times New Roman"/>
          <w:sz w:val="22"/>
          <w:szCs w:val="22"/>
        </w:rPr>
        <w:t>si trovano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A67D82" w:rsidRPr="00191545">
        <w:rPr>
          <w:rFonts w:ascii="Times New Roman" w:hAnsi="Times New Roman" w:cs="Times New Roman"/>
          <w:sz w:val="22"/>
          <w:szCs w:val="22"/>
        </w:rPr>
        <w:t xml:space="preserve">nella </w:t>
      </w:r>
      <w:r w:rsidRPr="00191545">
        <w:rPr>
          <w:rFonts w:ascii="Times New Roman" w:hAnsi="Times New Roman" w:cs="Times New Roman"/>
          <w:i/>
          <w:sz w:val="22"/>
          <w:szCs w:val="22"/>
        </w:rPr>
        <w:t>Biblioteca Storica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A67D82" w:rsidRPr="00191545">
        <w:rPr>
          <w:rFonts w:ascii="Times New Roman" w:hAnsi="Times New Roman" w:cs="Times New Roman"/>
          <w:sz w:val="22"/>
          <w:szCs w:val="22"/>
        </w:rPr>
        <w:t>di Diodoro Siculo (</w:t>
      </w:r>
      <w:r w:rsidRPr="00191545">
        <w:rPr>
          <w:rFonts w:ascii="Times New Roman" w:hAnsi="Times New Roman" w:cs="Times New Roman"/>
          <w:sz w:val="22"/>
          <w:szCs w:val="22"/>
        </w:rPr>
        <w:t>I sec. a.C</w:t>
      </w:r>
      <w:r w:rsidR="00A67D82" w:rsidRPr="00191545">
        <w:rPr>
          <w:rFonts w:ascii="Times New Roman" w:hAnsi="Times New Roman" w:cs="Times New Roman"/>
          <w:sz w:val="22"/>
          <w:szCs w:val="22"/>
        </w:rPr>
        <w:t>.)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e </w:t>
      </w:r>
      <w:r w:rsidR="00A67D82" w:rsidRPr="00191545">
        <w:rPr>
          <w:rFonts w:ascii="Times New Roman" w:hAnsi="Times New Roman" w:cs="Times New Roman"/>
          <w:sz w:val="22"/>
          <w:szCs w:val="22"/>
        </w:rPr>
        <w:t>nella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Pr="00191545">
        <w:rPr>
          <w:rFonts w:ascii="Times New Roman" w:hAnsi="Times New Roman" w:cs="Times New Roman"/>
          <w:i/>
          <w:sz w:val="22"/>
          <w:szCs w:val="22"/>
        </w:rPr>
        <w:t>Storia Naturale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A67D82" w:rsidRPr="00191545">
        <w:rPr>
          <w:rFonts w:ascii="Times New Roman" w:hAnsi="Times New Roman" w:cs="Times New Roman"/>
          <w:sz w:val="22"/>
          <w:szCs w:val="22"/>
        </w:rPr>
        <w:t>di Plinio il Vecchio (</w:t>
      </w:r>
      <w:r w:rsidRPr="00191545">
        <w:rPr>
          <w:rFonts w:ascii="Times New Roman" w:hAnsi="Times New Roman" w:cs="Times New Roman"/>
          <w:sz w:val="22"/>
          <w:szCs w:val="22"/>
        </w:rPr>
        <w:t>I d.C.</w:t>
      </w:r>
      <w:r w:rsidR="00A67D82" w:rsidRPr="00191545">
        <w:rPr>
          <w:rFonts w:ascii="Times New Roman" w:hAnsi="Times New Roman" w:cs="Times New Roman"/>
          <w:sz w:val="22"/>
          <w:szCs w:val="22"/>
        </w:rPr>
        <w:t>)</w:t>
      </w:r>
      <w:r w:rsidR="00194148">
        <w:rPr>
          <w:rFonts w:ascii="Times New Roman" w:hAnsi="Times New Roman" w:cs="Times New Roman"/>
          <w:sz w:val="22"/>
          <w:szCs w:val="22"/>
        </w:rPr>
        <w:t>, sempre però ammantate di</w:t>
      </w:r>
      <w:r w:rsidR="00C17AFA" w:rsidRPr="00191545">
        <w:rPr>
          <w:rFonts w:ascii="Times New Roman" w:hAnsi="Times New Roman" w:cs="Times New Roman"/>
          <w:sz w:val="22"/>
          <w:szCs w:val="22"/>
        </w:rPr>
        <w:t xml:space="preserve"> un alone di stupore.</w:t>
      </w:r>
    </w:p>
    <w:p w14:paraId="1C8C6072" w14:textId="10DFE96C" w:rsidR="0026795A" w:rsidRPr="00191545" w:rsidRDefault="005C6A49" w:rsidP="00134A7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A circa un secolo di distanza dalla morte di Alessandro Magno le sue gesta </w:t>
      </w:r>
      <w:r w:rsidR="0052505F" w:rsidRPr="00191545">
        <w:rPr>
          <w:rFonts w:ascii="Times New Roman" w:hAnsi="Times New Roman" w:cs="Times New Roman"/>
          <w:sz w:val="22"/>
          <w:szCs w:val="22"/>
        </w:rPr>
        <w:t>furono</w:t>
      </w:r>
      <w:r w:rsidRPr="00191545">
        <w:rPr>
          <w:rFonts w:ascii="Times New Roman" w:hAnsi="Times New Roman" w:cs="Times New Roman"/>
          <w:sz w:val="22"/>
          <w:szCs w:val="22"/>
        </w:rPr>
        <w:t xml:space="preserve"> raccolte </w:t>
      </w:r>
      <w:r w:rsidR="0052505F" w:rsidRPr="00191545">
        <w:rPr>
          <w:rFonts w:ascii="Times New Roman" w:hAnsi="Times New Roman" w:cs="Times New Roman"/>
          <w:sz w:val="22"/>
          <w:szCs w:val="22"/>
        </w:rPr>
        <w:t xml:space="preserve">nel </w:t>
      </w:r>
      <w:r w:rsidR="0052505F" w:rsidRPr="00191545">
        <w:rPr>
          <w:rFonts w:ascii="Times New Roman" w:hAnsi="Times New Roman" w:cs="Times New Roman"/>
          <w:i/>
          <w:iCs/>
          <w:sz w:val="22"/>
          <w:szCs w:val="22"/>
        </w:rPr>
        <w:t>Romanzo d’Alessandro</w:t>
      </w:r>
      <w:r w:rsidR="0052505F" w:rsidRPr="00191545">
        <w:rPr>
          <w:rFonts w:ascii="Times New Roman" w:hAnsi="Times New Roman" w:cs="Times New Roman"/>
          <w:sz w:val="22"/>
          <w:szCs w:val="22"/>
        </w:rPr>
        <w:t xml:space="preserve">, </w:t>
      </w:r>
      <w:r w:rsidRPr="00191545">
        <w:rPr>
          <w:rFonts w:ascii="Times New Roman" w:hAnsi="Times New Roman" w:cs="Times New Roman"/>
          <w:sz w:val="22"/>
          <w:szCs w:val="22"/>
        </w:rPr>
        <w:t xml:space="preserve">attribuito falsamente a 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Callistene</w:t>
      </w:r>
      <w:proofErr w:type="spellEnd"/>
      <w:r w:rsidRPr="00191545">
        <w:rPr>
          <w:rFonts w:ascii="Times New Roman" w:hAnsi="Times New Roman" w:cs="Times New Roman"/>
          <w:sz w:val="22"/>
          <w:szCs w:val="22"/>
        </w:rPr>
        <w:t xml:space="preserve"> di Olinto, storico e segretario</w:t>
      </w:r>
      <w:r w:rsidR="00BE728B" w:rsidRPr="00191545">
        <w:rPr>
          <w:rFonts w:ascii="Times New Roman" w:hAnsi="Times New Roman" w:cs="Times New Roman"/>
          <w:sz w:val="22"/>
          <w:szCs w:val="22"/>
        </w:rPr>
        <w:t xml:space="preserve"> del Macedone</w:t>
      </w:r>
      <w:r w:rsidRPr="00191545">
        <w:rPr>
          <w:rFonts w:ascii="Times New Roman" w:hAnsi="Times New Roman" w:cs="Times New Roman"/>
          <w:sz w:val="22"/>
          <w:szCs w:val="22"/>
        </w:rPr>
        <w:t xml:space="preserve">, </w:t>
      </w:r>
      <w:r w:rsidR="00F97178" w:rsidRPr="00191545">
        <w:rPr>
          <w:rFonts w:ascii="Times New Roman" w:hAnsi="Times New Roman" w:cs="Times New Roman"/>
          <w:sz w:val="22"/>
          <w:szCs w:val="22"/>
        </w:rPr>
        <w:t xml:space="preserve">che </w:t>
      </w:r>
      <w:r w:rsidR="0052505F" w:rsidRPr="00191545">
        <w:rPr>
          <w:rFonts w:ascii="Times New Roman" w:hAnsi="Times New Roman" w:cs="Times New Roman"/>
          <w:sz w:val="22"/>
          <w:szCs w:val="22"/>
        </w:rPr>
        <w:t xml:space="preserve">in seguito aveva congiurato contro di lui ed </w:t>
      </w:r>
      <w:r w:rsidR="00F97178" w:rsidRPr="00191545">
        <w:rPr>
          <w:rFonts w:ascii="Times New Roman" w:hAnsi="Times New Roman" w:cs="Times New Roman"/>
          <w:sz w:val="22"/>
          <w:szCs w:val="22"/>
        </w:rPr>
        <w:t xml:space="preserve">era stato </w:t>
      </w:r>
      <w:r w:rsidR="00BE728B" w:rsidRPr="00191545">
        <w:rPr>
          <w:rFonts w:ascii="Times New Roman" w:hAnsi="Times New Roman" w:cs="Times New Roman"/>
          <w:sz w:val="22"/>
          <w:szCs w:val="22"/>
        </w:rPr>
        <w:t>giustiziato.</w:t>
      </w:r>
      <w:r w:rsidR="00EF0881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3B2C4C" w:rsidRPr="00191545">
        <w:rPr>
          <w:rFonts w:ascii="Times New Roman" w:hAnsi="Times New Roman" w:cs="Times New Roman"/>
          <w:sz w:val="22"/>
          <w:szCs w:val="22"/>
        </w:rPr>
        <w:t>L’opera dello pseudo-</w:t>
      </w:r>
      <w:proofErr w:type="spellStart"/>
      <w:r w:rsidR="003B2C4C" w:rsidRPr="00191545">
        <w:rPr>
          <w:rFonts w:ascii="Times New Roman" w:hAnsi="Times New Roman" w:cs="Times New Roman"/>
          <w:sz w:val="22"/>
          <w:szCs w:val="22"/>
        </w:rPr>
        <w:t>Callistene</w:t>
      </w:r>
      <w:proofErr w:type="spellEnd"/>
      <w:r w:rsidR="009400AF" w:rsidRPr="00191545">
        <w:rPr>
          <w:rFonts w:ascii="Times New Roman" w:hAnsi="Times New Roman" w:cs="Times New Roman"/>
          <w:sz w:val="22"/>
          <w:szCs w:val="22"/>
        </w:rPr>
        <w:t xml:space="preserve">, </w:t>
      </w:r>
      <w:r w:rsidR="009400AF" w:rsidRPr="00191545">
        <w:rPr>
          <w:rFonts w:ascii="Times New Roman" w:hAnsi="Times New Roman" w:cs="Times New Roman"/>
          <w:iCs/>
          <w:sz w:val="22"/>
          <w:szCs w:val="22"/>
        </w:rPr>
        <w:t>un insieme di narrazioni redatte in tempi diversi ad Alessandria,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E31A4" w:rsidRPr="00191545">
        <w:rPr>
          <w:rFonts w:ascii="Times New Roman" w:hAnsi="Times New Roman" w:cs="Times New Roman"/>
          <w:sz w:val="22"/>
          <w:szCs w:val="22"/>
        </w:rPr>
        <w:t>fu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 tradotta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dal greco in latino da Giulio Valerio </w:t>
      </w:r>
      <w:proofErr w:type="spellStart"/>
      <w:r w:rsidR="0026795A" w:rsidRPr="00191545">
        <w:rPr>
          <w:rFonts w:ascii="Times New Roman" w:hAnsi="Times New Roman" w:cs="Times New Roman"/>
          <w:sz w:val="22"/>
          <w:szCs w:val="22"/>
        </w:rPr>
        <w:t>Polemio</w:t>
      </w:r>
      <w:proofErr w:type="spellEnd"/>
      <w:r w:rsidR="0026795A" w:rsidRPr="00191545">
        <w:rPr>
          <w:rFonts w:ascii="Times New Roman" w:hAnsi="Times New Roman" w:cs="Times New Roman"/>
          <w:sz w:val="22"/>
          <w:szCs w:val="22"/>
        </w:rPr>
        <w:t xml:space="preserve"> alla fine del III sec. d.C. come </w:t>
      </w:r>
      <w:r w:rsidR="0026795A" w:rsidRPr="00191545">
        <w:rPr>
          <w:rFonts w:ascii="Times New Roman" w:hAnsi="Times New Roman" w:cs="Times New Roman"/>
          <w:i/>
          <w:sz w:val="22"/>
          <w:szCs w:val="22"/>
        </w:rPr>
        <w:t xml:space="preserve">Res </w:t>
      </w:r>
      <w:proofErr w:type="spellStart"/>
      <w:r w:rsidR="0026795A" w:rsidRPr="00191545">
        <w:rPr>
          <w:rFonts w:ascii="Times New Roman" w:hAnsi="Times New Roman" w:cs="Times New Roman"/>
          <w:i/>
          <w:sz w:val="22"/>
          <w:szCs w:val="22"/>
        </w:rPr>
        <w:t>gestae</w:t>
      </w:r>
      <w:proofErr w:type="spellEnd"/>
      <w:r w:rsidR="0026795A" w:rsidRPr="0019154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26795A" w:rsidRPr="00191545">
        <w:rPr>
          <w:rFonts w:ascii="Times New Roman" w:hAnsi="Times New Roman" w:cs="Times New Roman"/>
          <w:i/>
          <w:sz w:val="22"/>
          <w:szCs w:val="22"/>
        </w:rPr>
        <w:t>Alexandri</w:t>
      </w:r>
      <w:proofErr w:type="spellEnd"/>
      <w:r w:rsidR="0026795A" w:rsidRPr="00191545">
        <w:rPr>
          <w:rFonts w:ascii="Times New Roman" w:hAnsi="Times New Roman" w:cs="Times New Roman"/>
          <w:i/>
          <w:sz w:val="22"/>
          <w:szCs w:val="22"/>
        </w:rPr>
        <w:t xml:space="preserve"> Magni</w:t>
      </w:r>
      <w:r w:rsidR="001E31A4" w:rsidRPr="00191545">
        <w:rPr>
          <w:rFonts w:ascii="Times New Roman" w:hAnsi="Times New Roman" w:cs="Times New Roman"/>
          <w:sz w:val="22"/>
          <w:szCs w:val="22"/>
        </w:rPr>
        <w:t>. M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olti </w:t>
      </w:r>
      <w:r w:rsidR="00154FA8" w:rsidRPr="00191545">
        <w:rPr>
          <w:rFonts w:ascii="Times New Roman" w:hAnsi="Times New Roman" w:cs="Times New Roman"/>
          <w:sz w:val="22"/>
          <w:szCs w:val="22"/>
        </w:rPr>
        <w:t>altri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letterati </w:t>
      </w:r>
      <w:r w:rsidR="0026795A" w:rsidRPr="00191545">
        <w:rPr>
          <w:rFonts w:ascii="Times New Roman" w:hAnsi="Times New Roman" w:cs="Times New Roman"/>
          <w:sz w:val="22"/>
          <w:szCs w:val="22"/>
        </w:rPr>
        <w:lastRenderedPageBreak/>
        <w:t xml:space="preserve">dell’antica Roma </w:t>
      </w:r>
      <w:r w:rsidR="001E31A4" w:rsidRPr="00191545">
        <w:rPr>
          <w:rFonts w:ascii="Times New Roman" w:hAnsi="Times New Roman" w:cs="Times New Roman"/>
          <w:sz w:val="22"/>
          <w:szCs w:val="22"/>
        </w:rPr>
        <w:t>scrissero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54FA8" w:rsidRPr="00191545">
        <w:rPr>
          <w:rFonts w:ascii="Times New Roman" w:hAnsi="Times New Roman" w:cs="Times New Roman"/>
          <w:sz w:val="22"/>
          <w:szCs w:val="22"/>
        </w:rPr>
        <w:t>del Macedone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e della mitica India: Curzio Rufo, autore di </w:t>
      </w:r>
      <w:proofErr w:type="spellStart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>Historiae</w:t>
      </w:r>
      <w:proofErr w:type="spellEnd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>Alexandri</w:t>
      </w:r>
      <w:proofErr w:type="spellEnd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Magni </w:t>
      </w:r>
      <w:r w:rsidR="003B4B2E">
        <w:rPr>
          <w:rFonts w:ascii="Times New Roman" w:hAnsi="Times New Roman" w:cs="Times New Roman"/>
          <w:sz w:val="22"/>
          <w:szCs w:val="22"/>
        </w:rPr>
        <w:t>in dieci libri;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Gaio Giulio Solino, che </w:t>
      </w:r>
      <w:r w:rsidR="001E31A4" w:rsidRPr="00191545">
        <w:rPr>
          <w:rFonts w:ascii="Times New Roman" w:hAnsi="Times New Roman" w:cs="Times New Roman"/>
          <w:sz w:val="22"/>
          <w:szCs w:val="22"/>
        </w:rPr>
        <w:t>rivisitò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>Naturalis</w:t>
      </w:r>
      <w:proofErr w:type="spellEnd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>Historia</w:t>
      </w:r>
      <w:proofErr w:type="spellEnd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6795A" w:rsidRPr="00191545">
        <w:rPr>
          <w:rFonts w:ascii="Times New Roman" w:hAnsi="Times New Roman" w:cs="Times New Roman"/>
          <w:sz w:val="22"/>
          <w:szCs w:val="22"/>
        </w:rPr>
        <w:t xml:space="preserve">di Plinio nel </w:t>
      </w:r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>mirabilibus</w:t>
      </w:r>
      <w:proofErr w:type="spellEnd"/>
      <w:r w:rsidR="0026795A"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mundi</w:t>
      </w:r>
      <w:r w:rsidR="0026795A" w:rsidRPr="00191545">
        <w:rPr>
          <w:rFonts w:ascii="Times New Roman" w:hAnsi="Times New Roman" w:cs="Times New Roman"/>
          <w:sz w:val="22"/>
          <w:szCs w:val="22"/>
        </w:rPr>
        <w:t>; e anco</w:t>
      </w:r>
      <w:r w:rsidR="001E31A4" w:rsidRPr="00191545">
        <w:rPr>
          <w:rFonts w:ascii="Times New Roman" w:hAnsi="Times New Roman" w:cs="Times New Roman"/>
          <w:sz w:val="22"/>
          <w:szCs w:val="22"/>
        </w:rPr>
        <w:t xml:space="preserve">ra Giustino, </w:t>
      </w:r>
      <w:proofErr w:type="spellStart"/>
      <w:r w:rsidR="001E31A4" w:rsidRPr="00191545">
        <w:rPr>
          <w:rFonts w:ascii="Times New Roman" w:hAnsi="Times New Roman" w:cs="Times New Roman"/>
          <w:sz w:val="22"/>
          <w:szCs w:val="22"/>
        </w:rPr>
        <w:t>Orosio</w:t>
      </w:r>
      <w:proofErr w:type="spellEnd"/>
      <w:r w:rsidR="001E31A4" w:rsidRPr="00191545">
        <w:rPr>
          <w:rFonts w:ascii="Times New Roman" w:hAnsi="Times New Roman" w:cs="Times New Roman"/>
          <w:sz w:val="22"/>
          <w:szCs w:val="22"/>
        </w:rPr>
        <w:t>, Isidoro...</w:t>
      </w:r>
      <w:r w:rsidR="00134A7D">
        <w:rPr>
          <w:rFonts w:ascii="Times New Roman" w:hAnsi="Times New Roman" w:cs="Times New Roman"/>
          <w:sz w:val="22"/>
          <w:szCs w:val="22"/>
        </w:rPr>
        <w:t xml:space="preserve"> </w:t>
      </w:r>
      <w:r w:rsidR="001E31A4" w:rsidRPr="00191545">
        <w:rPr>
          <w:rFonts w:ascii="Times New Roman" w:hAnsi="Times New Roman" w:cs="Times New Roman"/>
          <w:sz w:val="22"/>
          <w:szCs w:val="22"/>
        </w:rPr>
        <w:t xml:space="preserve">E in tutti </w:t>
      </w:r>
      <w:r w:rsidR="00D63921">
        <w:rPr>
          <w:rFonts w:ascii="Times New Roman" w:hAnsi="Times New Roman" w:cs="Times New Roman"/>
          <w:sz w:val="22"/>
          <w:szCs w:val="22"/>
        </w:rPr>
        <w:t>sono presenti descrizioni st</w:t>
      </w:r>
      <w:r w:rsidR="00D83E8C">
        <w:rPr>
          <w:rFonts w:ascii="Times New Roman" w:hAnsi="Times New Roman" w:cs="Times New Roman"/>
          <w:sz w:val="22"/>
          <w:szCs w:val="22"/>
        </w:rPr>
        <w:t>u</w:t>
      </w:r>
      <w:r w:rsidR="00D63921">
        <w:rPr>
          <w:rFonts w:ascii="Times New Roman" w:hAnsi="Times New Roman" w:cs="Times New Roman"/>
          <w:sz w:val="22"/>
          <w:szCs w:val="22"/>
        </w:rPr>
        <w:t>pefacenti.</w:t>
      </w:r>
    </w:p>
    <w:p w14:paraId="0EF4E115" w14:textId="57A92105" w:rsidR="002C60D2" w:rsidRPr="00191545" w:rsidRDefault="0026795A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Verso il 960 l’Arciprete Leone </w:t>
      </w:r>
      <w:r w:rsidR="001E31A4" w:rsidRPr="00191545">
        <w:rPr>
          <w:rFonts w:ascii="Times New Roman" w:hAnsi="Times New Roman" w:cs="Times New Roman"/>
          <w:sz w:val="22"/>
          <w:szCs w:val="22"/>
        </w:rPr>
        <w:t>effettuò</w:t>
      </w:r>
      <w:r w:rsidRPr="00191545">
        <w:rPr>
          <w:rFonts w:ascii="Times New Roman" w:hAnsi="Times New Roman" w:cs="Times New Roman"/>
          <w:sz w:val="22"/>
          <w:szCs w:val="22"/>
        </w:rPr>
        <w:t xml:space="preserve"> un’ulteriore traduzione del </w:t>
      </w:r>
      <w:r w:rsidRPr="00191545">
        <w:rPr>
          <w:rFonts w:ascii="Times New Roman" w:hAnsi="Times New Roman" w:cs="Times New Roman"/>
          <w:i/>
          <w:iCs/>
          <w:sz w:val="22"/>
          <w:szCs w:val="22"/>
        </w:rPr>
        <w:t>Romanzo d’Alessandro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54FA8" w:rsidRPr="00191545">
        <w:rPr>
          <w:rFonts w:ascii="Times New Roman" w:hAnsi="Times New Roman" w:cs="Times New Roman"/>
          <w:sz w:val="22"/>
          <w:szCs w:val="22"/>
        </w:rPr>
        <w:t>dello pseudo-</w:t>
      </w:r>
      <w:proofErr w:type="spellStart"/>
      <w:r w:rsidR="00154FA8" w:rsidRPr="00191545">
        <w:rPr>
          <w:rFonts w:ascii="Times New Roman" w:hAnsi="Times New Roman" w:cs="Times New Roman"/>
          <w:sz w:val="22"/>
          <w:szCs w:val="22"/>
        </w:rPr>
        <w:t>Callistene</w:t>
      </w:r>
      <w:proofErr w:type="spellEnd"/>
      <w:r w:rsidR="00154FA8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Pr="00191545">
        <w:rPr>
          <w:rFonts w:ascii="Times New Roman" w:hAnsi="Times New Roman" w:cs="Times New Roman"/>
          <w:sz w:val="22"/>
          <w:szCs w:val="22"/>
        </w:rPr>
        <w:t xml:space="preserve">da un manoscritto greco, intitolandola </w:t>
      </w:r>
      <w:r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Vita </w:t>
      </w:r>
      <w:proofErr w:type="spellStart"/>
      <w:r w:rsidRPr="00191545">
        <w:rPr>
          <w:rFonts w:ascii="Times New Roman" w:hAnsi="Times New Roman" w:cs="Times New Roman"/>
          <w:i/>
          <w:iCs/>
          <w:sz w:val="22"/>
          <w:szCs w:val="22"/>
        </w:rPr>
        <w:t>Alexandri</w:t>
      </w:r>
      <w:proofErr w:type="spellEnd"/>
      <w:r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 Magni</w:t>
      </w:r>
      <w:r w:rsidR="00154FA8" w:rsidRPr="00191545">
        <w:rPr>
          <w:rFonts w:ascii="Times New Roman" w:hAnsi="Times New Roman" w:cs="Times New Roman"/>
          <w:iCs/>
          <w:sz w:val="22"/>
          <w:szCs w:val="22"/>
        </w:rPr>
        <w:t>.</w:t>
      </w:r>
      <w:r w:rsidRPr="001915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54FA8" w:rsidRPr="00191545">
        <w:rPr>
          <w:rFonts w:ascii="Times New Roman" w:hAnsi="Times New Roman" w:cs="Times New Roman"/>
          <w:iCs/>
          <w:sz w:val="22"/>
          <w:szCs w:val="22"/>
        </w:rPr>
        <w:t>L’opera ebbe</w:t>
      </w:r>
      <w:r w:rsidRPr="00191545">
        <w:rPr>
          <w:rFonts w:ascii="Times New Roman" w:hAnsi="Times New Roman" w:cs="Times New Roman"/>
          <w:iCs/>
          <w:sz w:val="22"/>
          <w:szCs w:val="22"/>
        </w:rPr>
        <w:t xml:space="preserve"> grandissima fortuna nel Medioevo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 e ispirò numerose</w:t>
      </w:r>
      <w:r w:rsidRPr="00191545">
        <w:rPr>
          <w:rFonts w:ascii="Times New Roman" w:hAnsi="Times New Roman" w:cs="Times New Roman"/>
          <w:sz w:val="22"/>
          <w:szCs w:val="22"/>
        </w:rPr>
        <w:t xml:space="preserve"> versioni, soprattutto in lingua francese – prima fra tutte il </w:t>
      </w:r>
      <w:r w:rsidRPr="00191545">
        <w:rPr>
          <w:rFonts w:ascii="Times New Roman" w:hAnsi="Times New Roman" w:cs="Times New Roman"/>
          <w:i/>
          <w:iCs/>
          <w:sz w:val="22"/>
          <w:szCs w:val="22"/>
        </w:rPr>
        <w:t xml:space="preserve">Roman d’Alexandre </w:t>
      </w:r>
      <w:r w:rsidRPr="00191545">
        <w:rPr>
          <w:rFonts w:ascii="Times New Roman" w:hAnsi="Times New Roman" w:cs="Times New Roman"/>
          <w:sz w:val="22"/>
          <w:szCs w:val="22"/>
        </w:rPr>
        <w:t xml:space="preserve">di Alexandre de Paris </w:t>
      </w:r>
      <w:r w:rsidR="00DA0A48" w:rsidRPr="00191545">
        <w:rPr>
          <w:rFonts w:ascii="Times New Roman" w:hAnsi="Times New Roman" w:cs="Times New Roman"/>
          <w:sz w:val="22"/>
          <w:szCs w:val="22"/>
        </w:rPr>
        <w:t xml:space="preserve">(o de </w:t>
      </w:r>
      <w:proofErr w:type="spellStart"/>
      <w:r w:rsidR="00DA0A48" w:rsidRPr="00191545">
        <w:rPr>
          <w:rFonts w:ascii="Times New Roman" w:hAnsi="Times New Roman" w:cs="Times New Roman"/>
          <w:sz w:val="22"/>
          <w:szCs w:val="22"/>
        </w:rPr>
        <w:t>Bernay</w:t>
      </w:r>
      <w:proofErr w:type="spellEnd"/>
      <w:r w:rsidR="00DA0A48" w:rsidRPr="00191545">
        <w:rPr>
          <w:rFonts w:ascii="Times New Roman" w:hAnsi="Times New Roman" w:cs="Times New Roman"/>
          <w:sz w:val="22"/>
          <w:szCs w:val="22"/>
        </w:rPr>
        <w:t xml:space="preserve">) </w:t>
      </w:r>
      <w:r w:rsidRPr="00191545">
        <w:rPr>
          <w:rFonts w:ascii="Times New Roman" w:hAnsi="Times New Roman" w:cs="Times New Roman"/>
          <w:sz w:val="22"/>
          <w:szCs w:val="22"/>
        </w:rPr>
        <w:t xml:space="preserve">del 1177, </w:t>
      </w:r>
      <w:r w:rsidR="00F418F3" w:rsidRPr="00191545">
        <w:rPr>
          <w:rFonts w:ascii="Times New Roman" w:hAnsi="Times New Roman" w:cs="Times New Roman"/>
          <w:sz w:val="22"/>
          <w:szCs w:val="22"/>
        </w:rPr>
        <w:t xml:space="preserve">ben </w:t>
      </w:r>
      <w:r w:rsidRPr="00191545">
        <w:rPr>
          <w:rFonts w:ascii="Times New Roman" w:hAnsi="Times New Roman" w:cs="Times New Roman"/>
          <w:sz w:val="22"/>
          <w:szCs w:val="22"/>
        </w:rPr>
        <w:t xml:space="preserve">16000 versi </w:t>
      </w:r>
      <w:r w:rsidR="00F418F3" w:rsidRPr="00191545">
        <w:rPr>
          <w:rFonts w:ascii="Times New Roman" w:hAnsi="Times New Roman" w:cs="Times New Roman"/>
          <w:sz w:val="22"/>
          <w:szCs w:val="22"/>
        </w:rPr>
        <w:t xml:space="preserve">composti 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riunendo </w:t>
      </w:r>
      <w:r w:rsidR="00F418F3" w:rsidRPr="00191545">
        <w:rPr>
          <w:rFonts w:ascii="Times New Roman" w:hAnsi="Times New Roman" w:cs="Times New Roman"/>
          <w:sz w:val="22"/>
          <w:szCs w:val="22"/>
        </w:rPr>
        <w:t xml:space="preserve">opere di autori </w:t>
      </w:r>
      <w:r w:rsidRPr="00191545">
        <w:rPr>
          <w:rFonts w:ascii="Times New Roman" w:hAnsi="Times New Roman" w:cs="Times New Roman"/>
          <w:sz w:val="22"/>
          <w:szCs w:val="22"/>
        </w:rPr>
        <w:t xml:space="preserve">diversi -, ma anche 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in lingua </w:t>
      </w:r>
      <w:r w:rsidRPr="00191545">
        <w:rPr>
          <w:rFonts w:ascii="Times New Roman" w:hAnsi="Times New Roman" w:cs="Times New Roman"/>
          <w:sz w:val="22"/>
          <w:szCs w:val="22"/>
        </w:rPr>
        <w:t>spagnola e tedesca, tutte debitrici per vie traverse allo Pseudo-</w:t>
      </w:r>
      <w:proofErr w:type="spellStart"/>
      <w:r w:rsidRPr="00191545">
        <w:rPr>
          <w:rFonts w:ascii="Times New Roman" w:hAnsi="Times New Roman" w:cs="Times New Roman"/>
          <w:sz w:val="22"/>
          <w:szCs w:val="22"/>
        </w:rPr>
        <w:t>Callistene</w:t>
      </w:r>
      <w:proofErr w:type="spellEnd"/>
      <w:r w:rsidRPr="00191545">
        <w:rPr>
          <w:rFonts w:ascii="Times New Roman" w:hAnsi="Times New Roman" w:cs="Times New Roman"/>
          <w:sz w:val="22"/>
          <w:szCs w:val="22"/>
        </w:rPr>
        <w:t>.</w:t>
      </w:r>
      <w:r w:rsidR="001F34AB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54FA8" w:rsidRPr="00191545">
        <w:rPr>
          <w:rFonts w:ascii="Times New Roman" w:hAnsi="Times New Roman" w:cs="Times New Roman"/>
          <w:sz w:val="22"/>
          <w:szCs w:val="22"/>
        </w:rPr>
        <w:t xml:space="preserve">Perfino Arabi ed Ebrei scrissero del Macedone e delle sue avventure e quindi anche dell’India. </w:t>
      </w:r>
      <w:r w:rsidR="001F34AB" w:rsidRPr="00191545">
        <w:rPr>
          <w:rFonts w:ascii="Times New Roman" w:hAnsi="Times New Roman" w:cs="Times New Roman"/>
          <w:sz w:val="22"/>
          <w:szCs w:val="22"/>
        </w:rPr>
        <w:t xml:space="preserve">Malgrado la diversità delle varie opere, i resoconti sono sempre sulle mirabilia, sui mostri e sugli eventi straordinari, quasi mai vissuti </w:t>
      </w:r>
      <w:r w:rsidR="00AF6AF5" w:rsidRPr="00191545">
        <w:rPr>
          <w:rFonts w:ascii="Times New Roman" w:hAnsi="Times New Roman" w:cs="Times New Roman"/>
          <w:sz w:val="22"/>
          <w:szCs w:val="22"/>
        </w:rPr>
        <w:t>di persona</w:t>
      </w:r>
      <w:r w:rsidR="002E5BFD" w:rsidRPr="00191545">
        <w:rPr>
          <w:rFonts w:ascii="Times New Roman" w:hAnsi="Times New Roman" w:cs="Times New Roman"/>
          <w:sz w:val="22"/>
          <w:szCs w:val="22"/>
        </w:rPr>
        <w:t xml:space="preserve"> dagli scrittori</w:t>
      </w:r>
      <w:r w:rsidR="001F34AB" w:rsidRPr="00191545">
        <w:rPr>
          <w:rFonts w:ascii="Times New Roman" w:hAnsi="Times New Roman" w:cs="Times New Roman"/>
          <w:sz w:val="22"/>
          <w:szCs w:val="22"/>
        </w:rPr>
        <w:t>,</w:t>
      </w:r>
      <w:r w:rsidR="00AF6AF5" w:rsidRPr="00191545">
        <w:rPr>
          <w:rFonts w:ascii="Times New Roman" w:hAnsi="Times New Roman" w:cs="Times New Roman"/>
          <w:sz w:val="22"/>
          <w:szCs w:val="22"/>
        </w:rPr>
        <w:t xml:space="preserve"> ma </w:t>
      </w:r>
      <w:r w:rsidR="001F34AB" w:rsidRPr="00191545">
        <w:rPr>
          <w:rFonts w:ascii="Times New Roman" w:hAnsi="Times New Roman" w:cs="Times New Roman"/>
          <w:sz w:val="22"/>
          <w:szCs w:val="22"/>
        </w:rPr>
        <w:t>appresi dal racconto di altri</w:t>
      </w:r>
      <w:bookmarkStart w:id="0" w:name="_GoBack"/>
      <w:bookmarkEnd w:id="0"/>
      <w:r w:rsidR="00AF6AF5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F34AB" w:rsidRPr="00191545">
        <w:rPr>
          <w:rFonts w:ascii="Times New Roman" w:hAnsi="Times New Roman" w:cs="Times New Roman"/>
          <w:sz w:val="22"/>
          <w:szCs w:val="22"/>
        </w:rPr>
        <w:t>degni</w:t>
      </w:r>
      <w:r w:rsidR="00AF6AF5" w:rsidRPr="00191545">
        <w:rPr>
          <w:rFonts w:ascii="Times New Roman" w:hAnsi="Times New Roman" w:cs="Times New Roman"/>
          <w:sz w:val="22"/>
          <w:szCs w:val="22"/>
        </w:rPr>
        <w:t xml:space="preserve"> di fede.</w:t>
      </w:r>
      <w:r w:rsidR="00451027" w:rsidRPr="001915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144C48" w14:textId="7F3C2122" w:rsidR="0072487B" w:rsidRPr="00191545" w:rsidRDefault="007B41E1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L’India fantastica interessava m</w:t>
      </w:r>
      <w:r w:rsidR="00213764" w:rsidRPr="00191545">
        <w:rPr>
          <w:rFonts w:ascii="Times New Roman" w:hAnsi="Times New Roman" w:cs="Times New Roman"/>
          <w:sz w:val="22"/>
          <w:szCs w:val="22"/>
        </w:rPr>
        <w:t xml:space="preserve">olto di più dell’India reale e </w:t>
      </w:r>
      <w:r w:rsidRPr="00191545">
        <w:rPr>
          <w:rFonts w:ascii="Times New Roman" w:hAnsi="Times New Roman" w:cs="Times New Roman"/>
          <w:sz w:val="22"/>
          <w:szCs w:val="22"/>
        </w:rPr>
        <w:t xml:space="preserve">quando cominciarono a circolare descrizioni </w:t>
      </w:r>
      <w:r w:rsidR="00213764" w:rsidRPr="00191545">
        <w:rPr>
          <w:rFonts w:ascii="Times New Roman" w:hAnsi="Times New Roman" w:cs="Times New Roman"/>
          <w:sz w:val="22"/>
          <w:szCs w:val="22"/>
        </w:rPr>
        <w:t xml:space="preserve">più obiettive, paradossalmente </w:t>
      </w:r>
      <w:r w:rsidR="0072487B" w:rsidRPr="00191545">
        <w:rPr>
          <w:rFonts w:ascii="Times New Roman" w:hAnsi="Times New Roman" w:cs="Times New Roman"/>
          <w:sz w:val="22"/>
          <w:szCs w:val="22"/>
        </w:rPr>
        <w:t>furono queste</w:t>
      </w:r>
      <w:r w:rsidR="00213764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72487B" w:rsidRPr="00191545">
        <w:rPr>
          <w:rFonts w:ascii="Times New Roman" w:hAnsi="Times New Roman" w:cs="Times New Roman"/>
          <w:sz w:val="22"/>
          <w:szCs w:val="22"/>
        </w:rPr>
        <w:t xml:space="preserve">a non essere </w:t>
      </w:r>
      <w:r w:rsidR="00213764" w:rsidRPr="00191545">
        <w:rPr>
          <w:rFonts w:ascii="Times New Roman" w:hAnsi="Times New Roman" w:cs="Times New Roman"/>
          <w:sz w:val="22"/>
          <w:szCs w:val="22"/>
        </w:rPr>
        <w:t>credute, come capitò a Marco Polo.</w:t>
      </w:r>
    </w:p>
    <w:p w14:paraId="1109ECA8" w14:textId="397B32F3" w:rsidR="00A23D01" w:rsidRPr="00191545" w:rsidRDefault="002C60D2" w:rsidP="00F13111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Oltre ai viaggiatori autentici ci </w:t>
      </w:r>
      <w:r w:rsidR="0072487B" w:rsidRPr="00191545">
        <w:rPr>
          <w:rFonts w:ascii="Times New Roman" w:hAnsi="Times New Roman" w:cs="Times New Roman"/>
          <w:sz w:val="22"/>
          <w:szCs w:val="22"/>
        </w:rPr>
        <w:t>furono</w:t>
      </w:r>
      <w:r w:rsidRPr="00191545">
        <w:rPr>
          <w:rFonts w:ascii="Times New Roman" w:hAnsi="Times New Roman" w:cs="Times New Roman"/>
          <w:sz w:val="22"/>
          <w:szCs w:val="22"/>
        </w:rPr>
        <w:t xml:space="preserve"> quelli “da camera”, che non si </w:t>
      </w:r>
      <w:r w:rsidR="0072487B" w:rsidRPr="00191545">
        <w:rPr>
          <w:rFonts w:ascii="Times New Roman" w:hAnsi="Times New Roman" w:cs="Times New Roman"/>
          <w:sz w:val="22"/>
          <w:szCs w:val="22"/>
        </w:rPr>
        <w:t>mossero dal loro scrittoio</w:t>
      </w:r>
      <w:r w:rsidR="003B4B2E">
        <w:rPr>
          <w:rFonts w:ascii="Times New Roman" w:hAnsi="Times New Roman" w:cs="Times New Roman"/>
          <w:sz w:val="22"/>
          <w:szCs w:val="22"/>
        </w:rPr>
        <w:t xml:space="preserve"> e</w:t>
      </w:r>
      <w:r w:rsidR="0072487B" w:rsidRPr="00191545">
        <w:rPr>
          <w:rFonts w:ascii="Times New Roman" w:hAnsi="Times New Roman" w:cs="Times New Roman"/>
          <w:sz w:val="22"/>
          <w:szCs w:val="22"/>
        </w:rPr>
        <w:t xml:space="preserve"> produssero</w:t>
      </w:r>
      <w:r w:rsidRPr="00191545">
        <w:rPr>
          <w:rFonts w:ascii="Times New Roman" w:hAnsi="Times New Roman" w:cs="Times New Roman"/>
          <w:sz w:val="22"/>
          <w:szCs w:val="22"/>
        </w:rPr>
        <w:t xml:space="preserve"> opere spacciate come resoconti di viaggi, </w:t>
      </w:r>
      <w:r w:rsidR="00A34F94" w:rsidRPr="00191545">
        <w:rPr>
          <w:rFonts w:ascii="Times New Roman" w:hAnsi="Times New Roman" w:cs="Times New Roman"/>
          <w:sz w:val="22"/>
          <w:szCs w:val="22"/>
        </w:rPr>
        <w:t>frutto comunque di un grande lavoro di ricerca</w:t>
      </w:r>
      <w:r w:rsidR="003B4B2E">
        <w:rPr>
          <w:rFonts w:ascii="Times New Roman" w:hAnsi="Times New Roman" w:cs="Times New Roman"/>
          <w:sz w:val="22"/>
          <w:szCs w:val="22"/>
        </w:rPr>
        <w:t>,</w:t>
      </w:r>
      <w:r w:rsidR="00A34F94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3B4B2E">
        <w:rPr>
          <w:rFonts w:ascii="Times New Roman" w:hAnsi="Times New Roman" w:cs="Times New Roman"/>
          <w:sz w:val="22"/>
          <w:szCs w:val="22"/>
        </w:rPr>
        <w:t>ma</w:t>
      </w:r>
      <w:r w:rsidR="003A70BB">
        <w:rPr>
          <w:rFonts w:ascii="Times New Roman" w:hAnsi="Times New Roman" w:cs="Times New Roman"/>
          <w:sz w:val="22"/>
          <w:szCs w:val="22"/>
        </w:rPr>
        <w:t xml:space="preserve"> sempre </w:t>
      </w:r>
      <w:r w:rsidRPr="00191545">
        <w:rPr>
          <w:rFonts w:ascii="Times New Roman" w:hAnsi="Times New Roman" w:cs="Times New Roman"/>
          <w:sz w:val="22"/>
          <w:szCs w:val="22"/>
        </w:rPr>
        <w:t xml:space="preserve">infarcite </w:t>
      </w:r>
      <w:r w:rsidR="003A70BB">
        <w:rPr>
          <w:rFonts w:ascii="Times New Roman" w:hAnsi="Times New Roman" w:cs="Times New Roman"/>
          <w:sz w:val="22"/>
          <w:szCs w:val="22"/>
        </w:rPr>
        <w:t>di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A34F94">
        <w:rPr>
          <w:rFonts w:ascii="Times New Roman" w:hAnsi="Times New Roman" w:cs="Times New Roman"/>
          <w:sz w:val="22"/>
          <w:szCs w:val="22"/>
        </w:rPr>
        <w:t>notizie strabilianti</w:t>
      </w:r>
      <w:r w:rsidR="0072487B" w:rsidRPr="00191545">
        <w:rPr>
          <w:rFonts w:ascii="Times New Roman" w:hAnsi="Times New Roman" w:cs="Times New Roman"/>
          <w:sz w:val="22"/>
          <w:szCs w:val="22"/>
        </w:rPr>
        <w:t>.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72487B" w:rsidRPr="00191545">
        <w:rPr>
          <w:rFonts w:ascii="Times New Roman" w:hAnsi="Times New Roman" w:cs="Times New Roman"/>
          <w:sz w:val="22"/>
          <w:szCs w:val="22"/>
        </w:rPr>
        <w:t>Il fantasioso, insomma, era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72487B" w:rsidRPr="00191545">
        <w:rPr>
          <w:rFonts w:ascii="Times New Roman" w:hAnsi="Times New Roman" w:cs="Times New Roman"/>
          <w:sz w:val="22"/>
          <w:szCs w:val="22"/>
        </w:rPr>
        <w:t>più appetibile della realtà: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72487B" w:rsidRPr="00191545">
        <w:rPr>
          <w:rFonts w:ascii="Times New Roman" w:hAnsi="Times New Roman" w:cs="Times New Roman"/>
          <w:sz w:val="22"/>
          <w:szCs w:val="22"/>
        </w:rPr>
        <w:t xml:space="preserve">l’immaginazione </w:t>
      </w:r>
      <w:r w:rsidR="008D45E3" w:rsidRPr="00191545">
        <w:rPr>
          <w:rFonts w:ascii="Times New Roman" w:hAnsi="Times New Roman" w:cs="Times New Roman"/>
          <w:sz w:val="22"/>
          <w:szCs w:val="22"/>
        </w:rPr>
        <w:t>aveva</w:t>
      </w:r>
      <w:r w:rsidR="0072487B" w:rsidRPr="00191545">
        <w:rPr>
          <w:rFonts w:ascii="Times New Roman" w:hAnsi="Times New Roman" w:cs="Times New Roman"/>
          <w:sz w:val="22"/>
          <w:szCs w:val="22"/>
        </w:rPr>
        <w:t xml:space="preserve"> bisogn</w:t>
      </w:r>
      <w:r w:rsidR="008D45E3" w:rsidRPr="00191545">
        <w:rPr>
          <w:rFonts w:ascii="Times New Roman" w:hAnsi="Times New Roman" w:cs="Times New Roman"/>
          <w:sz w:val="22"/>
          <w:szCs w:val="22"/>
        </w:rPr>
        <w:t>o di nutrimento</w:t>
      </w:r>
      <w:r w:rsidR="0072487B" w:rsidRPr="00191545">
        <w:rPr>
          <w:rFonts w:ascii="Times New Roman" w:hAnsi="Times New Roman" w:cs="Times New Roman"/>
          <w:sz w:val="22"/>
          <w:szCs w:val="22"/>
        </w:rPr>
        <w:t xml:space="preserve"> e un eccezionale luogo d</w:t>
      </w:r>
      <w:r w:rsidR="00C049A2" w:rsidRPr="00191545">
        <w:rPr>
          <w:rFonts w:ascii="Times New Roman" w:hAnsi="Times New Roman" w:cs="Times New Roman"/>
          <w:sz w:val="22"/>
          <w:szCs w:val="22"/>
        </w:rPr>
        <w:t>i “pascolo” era proprio l’India,</w:t>
      </w:r>
      <w:r w:rsidR="001F34AB" w:rsidRPr="00191545">
        <w:rPr>
          <w:rFonts w:ascii="Times New Roman" w:hAnsi="Times New Roman" w:cs="Times New Roman"/>
          <w:sz w:val="22"/>
          <w:szCs w:val="22"/>
        </w:rPr>
        <w:t xml:space="preserve"> misteriosa, aliena e inquietante, </w:t>
      </w:r>
      <w:r w:rsidR="002E5BFD" w:rsidRPr="00191545">
        <w:rPr>
          <w:rFonts w:ascii="Times New Roman" w:hAnsi="Times New Roman" w:cs="Times New Roman"/>
          <w:sz w:val="22"/>
          <w:szCs w:val="22"/>
        </w:rPr>
        <w:t>terra di</w:t>
      </w:r>
      <w:r w:rsidR="001F34AB" w:rsidRPr="00191545">
        <w:rPr>
          <w:rFonts w:ascii="Times New Roman" w:hAnsi="Times New Roman" w:cs="Times New Roman"/>
          <w:sz w:val="22"/>
          <w:szCs w:val="22"/>
        </w:rPr>
        <w:t xml:space="preserve"> avventure da brivido.</w:t>
      </w:r>
      <w:r w:rsidR="002E5BFD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F13111">
        <w:rPr>
          <w:rFonts w:ascii="Times New Roman" w:hAnsi="Times New Roman" w:cs="Times New Roman"/>
          <w:sz w:val="22"/>
          <w:szCs w:val="22"/>
        </w:rPr>
        <w:t>Il loro</w:t>
      </w:r>
      <w:r w:rsidR="002E5BFD" w:rsidRPr="00191545">
        <w:rPr>
          <w:rFonts w:ascii="Times New Roman" w:hAnsi="Times New Roman" w:cs="Times New Roman"/>
          <w:sz w:val="22"/>
          <w:szCs w:val="22"/>
        </w:rPr>
        <w:t xml:space="preserve"> sfondo </w:t>
      </w:r>
      <w:r w:rsidR="00C049A2" w:rsidRPr="00191545">
        <w:rPr>
          <w:rFonts w:ascii="Times New Roman" w:hAnsi="Times New Roman" w:cs="Times New Roman"/>
          <w:sz w:val="22"/>
          <w:szCs w:val="22"/>
        </w:rPr>
        <w:t>non poteva essere che</w:t>
      </w:r>
      <w:r w:rsidR="002E5BFD" w:rsidRPr="00191545">
        <w:rPr>
          <w:rFonts w:ascii="Times New Roman" w:hAnsi="Times New Roman" w:cs="Times New Roman"/>
          <w:sz w:val="22"/>
          <w:szCs w:val="22"/>
        </w:rPr>
        <w:t xml:space="preserve"> la gi</w:t>
      </w:r>
      <w:r w:rsidR="00DC7863">
        <w:rPr>
          <w:rFonts w:ascii="Times New Roman" w:hAnsi="Times New Roman" w:cs="Times New Roman"/>
          <w:sz w:val="22"/>
          <w:szCs w:val="22"/>
        </w:rPr>
        <w:t xml:space="preserve">ungla: ne </w:t>
      </w:r>
      <w:r w:rsidR="00922C2F">
        <w:rPr>
          <w:rFonts w:ascii="Times New Roman" w:hAnsi="Times New Roman" w:cs="Times New Roman"/>
          <w:sz w:val="22"/>
          <w:szCs w:val="22"/>
        </w:rPr>
        <w:t>è</w:t>
      </w:r>
      <w:r w:rsidR="00DC7863">
        <w:rPr>
          <w:rFonts w:ascii="Times New Roman" w:hAnsi="Times New Roman" w:cs="Times New Roman"/>
          <w:sz w:val="22"/>
          <w:szCs w:val="22"/>
        </w:rPr>
        <w:t xml:space="preserve"> </w:t>
      </w:r>
      <w:r w:rsidR="00D83E8C">
        <w:rPr>
          <w:rFonts w:ascii="Times New Roman" w:hAnsi="Times New Roman" w:cs="Times New Roman"/>
          <w:sz w:val="22"/>
          <w:szCs w:val="22"/>
        </w:rPr>
        <w:t>un esempio famoso</w:t>
      </w:r>
      <w:r w:rsidR="00C049A2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8D45E3" w:rsidRPr="00191545">
        <w:rPr>
          <w:rFonts w:ascii="Times New Roman" w:hAnsi="Times New Roman" w:cs="Times New Roman"/>
          <w:i/>
          <w:sz w:val="22"/>
          <w:szCs w:val="22"/>
        </w:rPr>
        <w:t xml:space="preserve">I misteri della </w:t>
      </w:r>
      <w:r w:rsidR="002331A2">
        <w:rPr>
          <w:rFonts w:ascii="Times New Roman" w:hAnsi="Times New Roman" w:cs="Times New Roman"/>
          <w:i/>
          <w:sz w:val="22"/>
          <w:szCs w:val="22"/>
        </w:rPr>
        <w:t>giungla</w:t>
      </w:r>
      <w:r w:rsidR="008D45E3" w:rsidRPr="00191545">
        <w:rPr>
          <w:rFonts w:ascii="Times New Roman" w:hAnsi="Times New Roman" w:cs="Times New Roman"/>
          <w:i/>
          <w:sz w:val="22"/>
          <w:szCs w:val="22"/>
        </w:rPr>
        <w:t xml:space="preserve"> ner</w:t>
      </w:r>
      <w:r w:rsidR="00C049A2" w:rsidRPr="00191545">
        <w:rPr>
          <w:rFonts w:ascii="Times New Roman" w:hAnsi="Times New Roman" w:cs="Times New Roman"/>
          <w:i/>
          <w:sz w:val="22"/>
          <w:szCs w:val="22"/>
        </w:rPr>
        <w:t>a</w:t>
      </w:r>
      <w:r w:rsidR="00D83E8C">
        <w:rPr>
          <w:rFonts w:ascii="Times New Roman" w:hAnsi="Times New Roman" w:cs="Times New Roman"/>
          <w:sz w:val="22"/>
          <w:szCs w:val="22"/>
        </w:rPr>
        <w:t xml:space="preserve">, </w:t>
      </w:r>
      <w:r w:rsidR="00D83E8C" w:rsidRPr="00D83E8C">
        <w:rPr>
          <w:rFonts w:ascii="Times New Roman" w:hAnsi="Times New Roman" w:cs="Times New Roman"/>
          <w:sz w:val="22"/>
          <w:szCs w:val="22"/>
        </w:rPr>
        <w:t>opera</w:t>
      </w:r>
      <w:r w:rsidR="00D83E8C">
        <w:rPr>
          <w:rFonts w:ascii="Times New Roman" w:hAnsi="Times New Roman" w:cs="Times New Roman"/>
          <w:sz w:val="22"/>
          <w:szCs w:val="22"/>
        </w:rPr>
        <w:t xml:space="preserve"> </w:t>
      </w:r>
      <w:r w:rsidR="00C049A2" w:rsidRPr="00191545">
        <w:rPr>
          <w:rFonts w:ascii="Times New Roman" w:hAnsi="Times New Roman" w:cs="Times New Roman"/>
          <w:sz w:val="22"/>
          <w:szCs w:val="22"/>
        </w:rPr>
        <w:t>di un grandissimo</w:t>
      </w:r>
      <w:r w:rsidR="008D45E3" w:rsidRPr="00191545">
        <w:rPr>
          <w:rFonts w:ascii="Times New Roman" w:hAnsi="Times New Roman" w:cs="Times New Roman"/>
          <w:sz w:val="22"/>
          <w:szCs w:val="22"/>
        </w:rPr>
        <w:t xml:space="preserve"> scrittore da camera di fine </w:t>
      </w:r>
      <w:r w:rsidR="00C049A2" w:rsidRPr="00191545">
        <w:rPr>
          <w:rFonts w:ascii="Times New Roman" w:hAnsi="Times New Roman" w:cs="Times New Roman"/>
          <w:sz w:val="22"/>
          <w:szCs w:val="22"/>
        </w:rPr>
        <w:t xml:space="preserve">Ottocento: Emilio Salgari. </w:t>
      </w:r>
    </w:p>
    <w:p w14:paraId="787FE9AC" w14:textId="1B529C07" w:rsidR="009E7C57" w:rsidRPr="00191545" w:rsidRDefault="002E5BFD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Di gi</w:t>
      </w:r>
      <w:r w:rsidR="00894C47" w:rsidRPr="00191545">
        <w:rPr>
          <w:rFonts w:ascii="Times New Roman" w:hAnsi="Times New Roman" w:cs="Times New Roman"/>
          <w:sz w:val="22"/>
          <w:szCs w:val="22"/>
        </w:rPr>
        <w:t>ungle l’Europa aveva sentito parlare a seguito delle prime scoperte geografiche, che nel XV e XVI secolo avevano contribuito alla rivalutazione della natura e dei popoli primitivi. L’Illuminismo aveva creato e alimentato il mito del “buon selvaggio” e delle l</w:t>
      </w:r>
      <w:r w:rsidR="009E7C57" w:rsidRPr="00191545">
        <w:rPr>
          <w:rFonts w:ascii="Times New Roman" w:hAnsi="Times New Roman" w:cs="Times New Roman"/>
          <w:sz w:val="22"/>
          <w:szCs w:val="22"/>
        </w:rPr>
        <w:t>ussureggianti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cornici che lo circondavano, favorendone un</w:t>
      </w:r>
      <w:r w:rsidR="002A792D">
        <w:rPr>
          <w:rFonts w:ascii="Times New Roman" w:hAnsi="Times New Roman" w:cs="Times New Roman"/>
          <w:sz w:val="22"/>
          <w:szCs w:val="22"/>
        </w:rPr>
        <w:t>o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sviluppo non alterato dalla cultura, ma fu soprattutto il Romanticismo che nel secolo seguente propose una visione della giungla, sia a livello di romanzi che di saggistica, determinante per l’immaginario europeo. </w:t>
      </w:r>
    </w:p>
    <w:p w14:paraId="3150FA0E" w14:textId="4BD6118B" w:rsidR="00894C47" w:rsidRPr="00191545" w:rsidRDefault="00894C47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L’atteggiamento fiducioso con cui l’esploratore ottocentesco intraprende</w:t>
      </w:r>
      <w:r w:rsidR="00DC7863">
        <w:rPr>
          <w:rFonts w:ascii="Times New Roman" w:hAnsi="Times New Roman" w:cs="Times New Roman"/>
          <w:sz w:val="22"/>
          <w:szCs w:val="22"/>
        </w:rPr>
        <w:t>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il cammino lo induce</w:t>
      </w:r>
      <w:r w:rsidR="00DC7863">
        <w:rPr>
          <w:rFonts w:ascii="Times New Roman" w:hAnsi="Times New Roman" w:cs="Times New Roman"/>
          <w:sz w:val="22"/>
          <w:szCs w:val="22"/>
        </w:rPr>
        <w:t>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a credere nell’incredibile – la scoperta di città nascoste, di tesori immensi, di esseri favolosi - e lo </w:t>
      </w:r>
      <w:r w:rsidR="00DC7863">
        <w:rPr>
          <w:rFonts w:ascii="Times New Roman" w:hAnsi="Times New Roman" w:cs="Times New Roman"/>
          <w:sz w:val="22"/>
          <w:szCs w:val="22"/>
        </w:rPr>
        <w:t>apriva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al gusto ineffabile</w:t>
      </w:r>
      <w:r w:rsidR="009C5051" w:rsidRPr="00191545">
        <w:rPr>
          <w:rFonts w:ascii="Times New Roman" w:hAnsi="Times New Roman" w:cs="Times New Roman"/>
          <w:sz w:val="22"/>
          <w:szCs w:val="22"/>
        </w:rPr>
        <w:t xml:space="preserve"> dello stupore, in una sorta d’</w:t>
      </w:r>
      <w:r w:rsidRPr="00191545">
        <w:rPr>
          <w:rFonts w:ascii="Times New Roman" w:hAnsi="Times New Roman" w:cs="Times New Roman"/>
          <w:sz w:val="22"/>
          <w:szCs w:val="22"/>
        </w:rPr>
        <w:t>in</w:t>
      </w:r>
      <w:r w:rsidR="000A544F">
        <w:rPr>
          <w:rFonts w:ascii="Times New Roman" w:hAnsi="Times New Roman" w:cs="Times New Roman"/>
          <w:sz w:val="22"/>
          <w:szCs w:val="22"/>
        </w:rPr>
        <w:t>genuo entusiasmo adolescenziale</w:t>
      </w:r>
      <w:r w:rsidRPr="00191545">
        <w:rPr>
          <w:rFonts w:ascii="Times New Roman" w:hAnsi="Times New Roman" w:cs="Times New Roman"/>
          <w:sz w:val="22"/>
          <w:szCs w:val="22"/>
        </w:rPr>
        <w:t xml:space="preserve">: l’uomo </w:t>
      </w:r>
      <w:r w:rsidR="00037D04">
        <w:rPr>
          <w:rFonts w:ascii="Times New Roman" w:hAnsi="Times New Roman" w:cs="Times New Roman"/>
          <w:sz w:val="22"/>
          <w:szCs w:val="22"/>
        </w:rPr>
        <w:t xml:space="preserve">adulto </w:t>
      </w:r>
      <w:r w:rsidR="00DC7863">
        <w:rPr>
          <w:rFonts w:ascii="Times New Roman" w:hAnsi="Times New Roman" w:cs="Times New Roman"/>
          <w:sz w:val="22"/>
          <w:szCs w:val="22"/>
        </w:rPr>
        <w:t>poteva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rincorrere i suoi sogni di scoperte eccezion</w:t>
      </w:r>
      <w:r w:rsidR="002E5BFD" w:rsidRPr="00191545">
        <w:rPr>
          <w:rFonts w:ascii="Times New Roman" w:hAnsi="Times New Roman" w:cs="Times New Roman"/>
          <w:sz w:val="22"/>
          <w:szCs w:val="22"/>
        </w:rPr>
        <w:t>ali e intatte nelle gi</w:t>
      </w:r>
      <w:r w:rsidRPr="00191545">
        <w:rPr>
          <w:rFonts w:ascii="Times New Roman" w:hAnsi="Times New Roman" w:cs="Times New Roman"/>
          <w:sz w:val="22"/>
          <w:szCs w:val="22"/>
        </w:rPr>
        <w:t xml:space="preserve">ungle </w:t>
      </w:r>
      <w:r w:rsidR="009C5051" w:rsidRPr="00191545">
        <w:rPr>
          <w:rFonts w:ascii="Times New Roman" w:hAnsi="Times New Roman" w:cs="Times New Roman"/>
          <w:sz w:val="22"/>
          <w:szCs w:val="22"/>
        </w:rPr>
        <w:t>dell’India</w:t>
      </w:r>
      <w:r w:rsidRPr="00191545">
        <w:rPr>
          <w:rFonts w:ascii="Times New Roman" w:hAnsi="Times New Roman" w:cs="Times New Roman"/>
          <w:sz w:val="22"/>
          <w:szCs w:val="22"/>
        </w:rPr>
        <w:t>, trasformandoli in spedizioni geografiche e scientifiche.</w:t>
      </w:r>
    </w:p>
    <w:p w14:paraId="0A95AE26" w14:textId="72B8CE40" w:rsidR="00894C47" w:rsidRPr="00191545" w:rsidRDefault="004E472A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E63D85">
        <w:rPr>
          <w:rFonts w:ascii="Times New Roman" w:hAnsi="Times New Roman" w:cs="Times New Roman"/>
          <w:sz w:val="22"/>
          <w:szCs w:val="22"/>
        </w:rPr>
        <w:t xml:space="preserve">’esplorazione </w:t>
      </w:r>
      <w:r w:rsidR="00DC7863">
        <w:rPr>
          <w:rFonts w:ascii="Times New Roman" w:hAnsi="Times New Roman" w:cs="Times New Roman"/>
          <w:sz w:val="22"/>
          <w:szCs w:val="22"/>
        </w:rPr>
        <w:t>non era</w:t>
      </w:r>
      <w:r>
        <w:rPr>
          <w:rFonts w:ascii="Times New Roman" w:hAnsi="Times New Roman" w:cs="Times New Roman"/>
          <w:sz w:val="22"/>
          <w:szCs w:val="22"/>
        </w:rPr>
        <w:t xml:space="preserve"> sol</w:t>
      </w:r>
      <w:r w:rsidR="00843EB6">
        <w:rPr>
          <w:rFonts w:ascii="Times New Roman" w:hAnsi="Times New Roman" w:cs="Times New Roman"/>
          <w:sz w:val="22"/>
          <w:szCs w:val="22"/>
        </w:rPr>
        <w:t xml:space="preserve">o </w:t>
      </w:r>
      <w:r w:rsidR="009B09B2">
        <w:rPr>
          <w:rFonts w:ascii="Times New Roman" w:hAnsi="Times New Roman" w:cs="Times New Roman"/>
          <w:sz w:val="22"/>
          <w:szCs w:val="22"/>
        </w:rPr>
        <w:t xml:space="preserve">ricerca di </w:t>
      </w:r>
      <w:r w:rsidR="00843EB6">
        <w:rPr>
          <w:rFonts w:ascii="Times New Roman" w:hAnsi="Times New Roman" w:cs="Times New Roman"/>
          <w:sz w:val="22"/>
          <w:szCs w:val="22"/>
        </w:rPr>
        <w:t>avventura e perseguimento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di ricchezza e potere, ma anche e soprattutto percorso implicito di </w:t>
      </w:r>
      <w:r w:rsidR="002E5BFD" w:rsidRPr="00191545">
        <w:rPr>
          <w:rFonts w:ascii="Times New Roman" w:hAnsi="Times New Roman" w:cs="Times New Roman"/>
          <w:sz w:val="22"/>
          <w:szCs w:val="22"/>
        </w:rPr>
        <w:t>autocoscienza. Le prove che la gi</w:t>
      </w:r>
      <w:r w:rsidR="00894C47" w:rsidRPr="00191545">
        <w:rPr>
          <w:rFonts w:ascii="Times New Roman" w:hAnsi="Times New Roman" w:cs="Times New Roman"/>
          <w:sz w:val="22"/>
          <w:szCs w:val="22"/>
        </w:rPr>
        <w:t>ungla impone</w:t>
      </w:r>
      <w:r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843EB6">
        <w:rPr>
          <w:rFonts w:ascii="Times New Roman" w:hAnsi="Times New Roman" w:cs="Times New Roman"/>
          <w:sz w:val="22"/>
          <w:szCs w:val="22"/>
        </w:rPr>
        <w:t>diventavano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proiezione di viaggi interiori con relativi passaggi iniziatici: la mancanza di sentieri tracciati e la necessità di aprirsi o trovare varchi nella vegetazione soffocante, il rapporto con la guida o l’assenza di questa, il pericolo di perdersi, l’incombere dell’agguato, l’apparizione dei mostri – fiere, selvaggi, esseri ignoti -, </w:t>
      </w:r>
      <w:r w:rsidR="00843EB6">
        <w:rPr>
          <w:rFonts w:ascii="Times New Roman" w:hAnsi="Times New Roman" w:cs="Times New Roman"/>
          <w:sz w:val="22"/>
          <w:szCs w:val="22"/>
        </w:rPr>
        <w:t>erano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tutti elementi tipici della discesa nel profondo della psiche e della </w:t>
      </w:r>
      <w:r w:rsidR="00B94A0F">
        <w:rPr>
          <w:rFonts w:ascii="Times New Roman" w:hAnsi="Times New Roman" w:cs="Times New Roman"/>
          <w:sz w:val="22"/>
          <w:szCs w:val="22"/>
        </w:rPr>
        <w:t>conoscenza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A42DD0">
        <w:rPr>
          <w:rFonts w:ascii="Times New Roman" w:hAnsi="Times New Roman" w:cs="Times New Roman"/>
          <w:sz w:val="22"/>
          <w:szCs w:val="22"/>
        </w:rPr>
        <w:t>di se stessi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13367D1" w14:textId="31B80CF2" w:rsidR="0079342D" w:rsidRDefault="002E5BFD" w:rsidP="0079342D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lastRenderedPageBreak/>
        <w:t>La giu</w:t>
      </w:r>
      <w:r w:rsidR="00894C47" w:rsidRPr="00191545">
        <w:rPr>
          <w:rFonts w:ascii="Times New Roman" w:hAnsi="Times New Roman" w:cs="Times New Roman"/>
          <w:sz w:val="22"/>
          <w:szCs w:val="22"/>
        </w:rPr>
        <w:t>ngla, aggrovigliato e disordinato trionfo della natura, si pone</w:t>
      </w:r>
      <w:r w:rsidR="00843EB6"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agli antipodi dello spazio u</w:t>
      </w:r>
      <w:r w:rsidR="009C5051" w:rsidRPr="00191545">
        <w:rPr>
          <w:rFonts w:ascii="Times New Roman" w:hAnsi="Times New Roman" w:cs="Times New Roman"/>
          <w:sz w:val="22"/>
          <w:szCs w:val="22"/>
        </w:rPr>
        <w:t>mano costruito e regolamentato</w:t>
      </w:r>
      <w:r w:rsidR="00912345">
        <w:rPr>
          <w:rFonts w:ascii="Times New Roman" w:hAnsi="Times New Roman" w:cs="Times New Roman"/>
          <w:sz w:val="22"/>
          <w:szCs w:val="22"/>
        </w:rPr>
        <w:t>. I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l ritorno all’informale </w:t>
      </w:r>
      <w:r w:rsidR="00843EB6">
        <w:rPr>
          <w:rFonts w:ascii="Times New Roman" w:hAnsi="Times New Roman" w:cs="Times New Roman"/>
          <w:sz w:val="22"/>
          <w:szCs w:val="22"/>
        </w:rPr>
        <w:t>scomponeva i luoghi comuni, gli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stereotipi</w:t>
      </w:r>
      <w:r w:rsidR="00843EB6">
        <w:rPr>
          <w:rFonts w:ascii="Times New Roman" w:hAnsi="Times New Roman" w:cs="Times New Roman"/>
          <w:sz w:val="22"/>
          <w:szCs w:val="22"/>
        </w:rPr>
        <w:t>, le</w:t>
      </w:r>
      <w:r w:rsidRPr="00191545">
        <w:rPr>
          <w:rFonts w:ascii="Times New Roman" w:hAnsi="Times New Roman" w:cs="Times New Roman"/>
          <w:sz w:val="22"/>
          <w:szCs w:val="22"/>
        </w:rPr>
        <w:t xml:space="preserve"> certezze acritiche: nella gi</w:t>
      </w:r>
      <w:r w:rsidR="00737409">
        <w:rPr>
          <w:rFonts w:ascii="Times New Roman" w:hAnsi="Times New Roman" w:cs="Times New Roman"/>
          <w:sz w:val="22"/>
          <w:szCs w:val="22"/>
        </w:rPr>
        <w:t>ungla il noto era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sopraffatto dall’ignoto. L’alienazione </w:t>
      </w:r>
      <w:r w:rsidR="00737409">
        <w:rPr>
          <w:rFonts w:ascii="Times New Roman" w:hAnsi="Times New Roman" w:cs="Times New Roman"/>
          <w:sz w:val="22"/>
          <w:szCs w:val="22"/>
        </w:rPr>
        <w:t>diveniva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il mezzo per integrare parti oscure e scomode di sé, le difficoltà e la solitudine sviluppa</w:t>
      </w:r>
      <w:r w:rsidR="00522593"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no la personalità eroica, i tesori scoperti </w:t>
      </w:r>
      <w:r w:rsidR="00522593">
        <w:rPr>
          <w:rFonts w:ascii="Times New Roman" w:hAnsi="Times New Roman" w:cs="Times New Roman"/>
          <w:sz w:val="22"/>
          <w:szCs w:val="22"/>
        </w:rPr>
        <w:t>erano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il premio tangibile di una vittoria interiore. </w:t>
      </w:r>
      <w:r w:rsidR="00912345">
        <w:rPr>
          <w:rFonts w:ascii="Times New Roman" w:hAnsi="Times New Roman" w:cs="Times New Roman"/>
          <w:sz w:val="22"/>
          <w:szCs w:val="22"/>
        </w:rPr>
        <w:t>Se però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l</w:t>
      </w:r>
      <w:r w:rsidR="00522593">
        <w:rPr>
          <w:rFonts w:ascii="Times New Roman" w:hAnsi="Times New Roman" w:cs="Times New Roman"/>
          <w:sz w:val="22"/>
          <w:szCs w:val="22"/>
        </w:rPr>
        <w:t>a statura dell’esploratore non era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all’altezza della prova</w:t>
      </w:r>
      <w:r w:rsidR="00522593">
        <w:rPr>
          <w:rFonts w:ascii="Times New Roman" w:hAnsi="Times New Roman" w:cs="Times New Roman"/>
          <w:sz w:val="22"/>
          <w:szCs w:val="22"/>
        </w:rPr>
        <w:t xml:space="preserve"> e l’integrazione falliva</w:t>
      </w:r>
      <w:r w:rsidRPr="00191545">
        <w:rPr>
          <w:rFonts w:ascii="Times New Roman" w:hAnsi="Times New Roman" w:cs="Times New Roman"/>
          <w:sz w:val="22"/>
          <w:szCs w:val="22"/>
        </w:rPr>
        <w:t>, la gi</w:t>
      </w:r>
      <w:r w:rsidR="00894C47" w:rsidRPr="00191545">
        <w:rPr>
          <w:rFonts w:ascii="Times New Roman" w:hAnsi="Times New Roman" w:cs="Times New Roman"/>
          <w:sz w:val="22"/>
          <w:szCs w:val="22"/>
        </w:rPr>
        <w:t>ungla si trasforma</w:t>
      </w:r>
      <w:r w:rsidR="00522593"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in un inferno di paura, di pazzia e di morte. La natura da vincere </w:t>
      </w:r>
      <w:r w:rsidR="00E63D85">
        <w:rPr>
          <w:rFonts w:ascii="Times New Roman" w:hAnsi="Times New Roman" w:cs="Times New Roman"/>
          <w:sz w:val="22"/>
          <w:szCs w:val="22"/>
        </w:rPr>
        <w:t>diventa</w:t>
      </w:r>
      <w:r w:rsidR="00522593"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la natura </w:t>
      </w:r>
      <w:r w:rsidR="00522593">
        <w:rPr>
          <w:rFonts w:ascii="Times New Roman" w:hAnsi="Times New Roman" w:cs="Times New Roman"/>
          <w:sz w:val="22"/>
          <w:szCs w:val="22"/>
        </w:rPr>
        <w:t>vincente</w:t>
      </w:r>
      <w:r w:rsidR="00894C47" w:rsidRPr="00191545">
        <w:rPr>
          <w:rFonts w:ascii="Times New Roman" w:hAnsi="Times New Roman" w:cs="Times New Roman"/>
          <w:sz w:val="22"/>
          <w:szCs w:val="22"/>
        </w:rPr>
        <w:t>, un mostro dai verdi tentacoli che so</w:t>
      </w:r>
      <w:r w:rsidR="0079342D">
        <w:rPr>
          <w:rFonts w:ascii="Times New Roman" w:hAnsi="Times New Roman" w:cs="Times New Roman"/>
          <w:sz w:val="22"/>
          <w:szCs w:val="22"/>
        </w:rPr>
        <w:t>ffoca</w:t>
      </w:r>
      <w:r w:rsidR="000D4C5E">
        <w:rPr>
          <w:rFonts w:ascii="Times New Roman" w:hAnsi="Times New Roman" w:cs="Times New Roman"/>
          <w:sz w:val="22"/>
          <w:szCs w:val="22"/>
        </w:rPr>
        <w:t>va e</w:t>
      </w:r>
      <w:r w:rsidR="0079342D">
        <w:rPr>
          <w:rFonts w:ascii="Times New Roman" w:hAnsi="Times New Roman" w:cs="Times New Roman"/>
          <w:sz w:val="22"/>
          <w:szCs w:val="22"/>
        </w:rPr>
        <w:t xml:space="preserve"> annienta</w:t>
      </w:r>
      <w:r w:rsidR="000D4C5E">
        <w:rPr>
          <w:rFonts w:ascii="Times New Roman" w:hAnsi="Times New Roman" w:cs="Times New Roman"/>
          <w:sz w:val="22"/>
          <w:szCs w:val="22"/>
        </w:rPr>
        <w:t>va</w:t>
      </w:r>
      <w:r w:rsidR="0079342D">
        <w:rPr>
          <w:rFonts w:ascii="Times New Roman" w:hAnsi="Times New Roman" w:cs="Times New Roman"/>
          <w:sz w:val="22"/>
          <w:szCs w:val="22"/>
        </w:rPr>
        <w:t xml:space="preserve"> e ben lo </w:t>
      </w:r>
      <w:r w:rsidR="007650C2">
        <w:rPr>
          <w:rFonts w:ascii="Times New Roman" w:hAnsi="Times New Roman" w:cs="Times New Roman"/>
          <w:sz w:val="22"/>
          <w:szCs w:val="22"/>
        </w:rPr>
        <w:t>sapevano</w:t>
      </w:r>
      <w:r w:rsidR="0079342D">
        <w:rPr>
          <w:rFonts w:ascii="Times New Roman" w:hAnsi="Times New Roman" w:cs="Times New Roman"/>
          <w:sz w:val="22"/>
          <w:szCs w:val="22"/>
        </w:rPr>
        <w:t xml:space="preserve"> gli eroi salgariani – </w:t>
      </w:r>
      <w:proofErr w:type="spellStart"/>
      <w:r w:rsidR="0079342D">
        <w:rPr>
          <w:rFonts w:ascii="Times New Roman" w:hAnsi="Times New Roman" w:cs="Times New Roman"/>
          <w:sz w:val="22"/>
          <w:szCs w:val="22"/>
        </w:rPr>
        <w:t>Tremal</w:t>
      </w:r>
      <w:proofErr w:type="spellEnd"/>
      <w:r w:rsidR="007934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9342D">
        <w:rPr>
          <w:rFonts w:ascii="Times New Roman" w:hAnsi="Times New Roman" w:cs="Times New Roman"/>
          <w:sz w:val="22"/>
          <w:szCs w:val="22"/>
        </w:rPr>
        <w:t>Naik</w:t>
      </w:r>
      <w:proofErr w:type="spellEnd"/>
      <w:r w:rsidR="0079342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9342D">
        <w:rPr>
          <w:rFonts w:ascii="Times New Roman" w:hAnsi="Times New Roman" w:cs="Times New Roman"/>
          <w:sz w:val="22"/>
          <w:szCs w:val="22"/>
        </w:rPr>
        <w:t>Kammamuri</w:t>
      </w:r>
      <w:proofErr w:type="spellEnd"/>
      <w:r w:rsidR="0079342D">
        <w:rPr>
          <w:rFonts w:ascii="Times New Roman" w:hAnsi="Times New Roman" w:cs="Times New Roman"/>
          <w:sz w:val="22"/>
          <w:szCs w:val="22"/>
        </w:rPr>
        <w:t xml:space="preserve">, Sandokan, Yanez – che più volte si </w:t>
      </w:r>
      <w:r w:rsidR="007F62A4">
        <w:rPr>
          <w:rFonts w:ascii="Times New Roman" w:hAnsi="Times New Roman" w:cs="Times New Roman"/>
          <w:sz w:val="22"/>
          <w:szCs w:val="22"/>
        </w:rPr>
        <w:t>erano</w:t>
      </w:r>
      <w:r w:rsidR="0079342D">
        <w:rPr>
          <w:rFonts w:ascii="Times New Roman" w:hAnsi="Times New Roman" w:cs="Times New Roman"/>
          <w:sz w:val="22"/>
          <w:szCs w:val="22"/>
        </w:rPr>
        <w:t xml:space="preserve"> misurati con essa.</w:t>
      </w:r>
    </w:p>
    <w:p w14:paraId="2381C03D" w14:textId="77777777" w:rsidR="00912345" w:rsidRDefault="0079342D" w:rsidP="00BE7C3E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Nei </w:t>
      </w:r>
      <w:r w:rsidRPr="00E622F9">
        <w:rPr>
          <w:rFonts w:ascii="Times New Roman" w:hAnsi="Times New Roman" w:cs="Times New Roman"/>
          <w:i/>
          <w:sz w:val="22"/>
          <w:szCs w:val="22"/>
        </w:rPr>
        <w:t xml:space="preserve">Misteri della </w:t>
      </w:r>
      <w:r w:rsidR="002331A2">
        <w:rPr>
          <w:rFonts w:ascii="Times New Roman" w:hAnsi="Times New Roman" w:cs="Times New Roman"/>
          <w:i/>
          <w:sz w:val="22"/>
          <w:szCs w:val="22"/>
        </w:rPr>
        <w:t>giungla</w:t>
      </w:r>
      <w:r w:rsidRPr="00E622F9">
        <w:rPr>
          <w:rFonts w:ascii="Times New Roman" w:hAnsi="Times New Roman" w:cs="Times New Roman"/>
          <w:i/>
          <w:sz w:val="22"/>
          <w:szCs w:val="22"/>
        </w:rPr>
        <w:t xml:space="preserve"> nera</w:t>
      </w:r>
      <w:r>
        <w:rPr>
          <w:rFonts w:ascii="Times New Roman" w:hAnsi="Times New Roman" w:cs="Times New Roman"/>
          <w:sz w:val="22"/>
          <w:szCs w:val="22"/>
        </w:rPr>
        <w:t xml:space="preserve"> l’elemento centrale </w:t>
      </w:r>
      <w:r w:rsidR="00E622F9">
        <w:rPr>
          <w:rFonts w:ascii="Times New Roman" w:hAnsi="Times New Roman" w:cs="Times New Roman"/>
          <w:sz w:val="22"/>
          <w:szCs w:val="22"/>
        </w:rPr>
        <w:t xml:space="preserve">sono i </w:t>
      </w:r>
      <w:proofErr w:type="spellStart"/>
      <w:r w:rsidR="00E622F9">
        <w:rPr>
          <w:rFonts w:ascii="Times New Roman" w:hAnsi="Times New Roman" w:cs="Times New Roman"/>
          <w:sz w:val="22"/>
          <w:szCs w:val="22"/>
        </w:rPr>
        <w:t>Thugs</w:t>
      </w:r>
      <w:proofErr w:type="spellEnd"/>
      <w:r w:rsidR="00E622F9">
        <w:rPr>
          <w:rFonts w:ascii="Times New Roman" w:hAnsi="Times New Roman" w:cs="Times New Roman"/>
          <w:sz w:val="22"/>
          <w:szCs w:val="22"/>
        </w:rPr>
        <w:t>, che strangolano vittime umane da off</w:t>
      </w:r>
      <w:r w:rsidR="00C419E0">
        <w:rPr>
          <w:rFonts w:ascii="Times New Roman" w:hAnsi="Times New Roman" w:cs="Times New Roman"/>
          <w:sz w:val="22"/>
          <w:szCs w:val="22"/>
        </w:rPr>
        <w:t xml:space="preserve">rire alla terribile dea </w:t>
      </w:r>
      <w:proofErr w:type="spellStart"/>
      <w:r w:rsidR="00C419E0">
        <w:rPr>
          <w:rFonts w:ascii="Times New Roman" w:hAnsi="Times New Roman" w:cs="Times New Roman"/>
          <w:sz w:val="22"/>
          <w:szCs w:val="22"/>
        </w:rPr>
        <w:t>Kali</w:t>
      </w:r>
      <w:proofErr w:type="spellEnd"/>
      <w:r w:rsidR="00C419E0">
        <w:rPr>
          <w:rFonts w:ascii="Times New Roman" w:hAnsi="Times New Roman" w:cs="Times New Roman"/>
          <w:sz w:val="22"/>
          <w:szCs w:val="22"/>
        </w:rPr>
        <w:t>: è</w:t>
      </w:r>
      <w:r w:rsidR="00E622F9">
        <w:rPr>
          <w:rFonts w:ascii="Times New Roman" w:hAnsi="Times New Roman" w:cs="Times New Roman"/>
          <w:sz w:val="22"/>
          <w:szCs w:val="22"/>
        </w:rPr>
        <w:t xml:space="preserve"> l’aspetto oscuro del sacro che emerge</w:t>
      </w:r>
      <w:r w:rsidR="00C419E0">
        <w:rPr>
          <w:rFonts w:ascii="Times New Roman" w:hAnsi="Times New Roman" w:cs="Times New Roman"/>
          <w:sz w:val="22"/>
          <w:szCs w:val="22"/>
        </w:rPr>
        <w:t xml:space="preserve"> dalle profondità della foresta, </w:t>
      </w:r>
      <w:r w:rsidR="002A792D">
        <w:rPr>
          <w:rFonts w:ascii="Times New Roman" w:hAnsi="Times New Roman" w:cs="Times New Roman"/>
          <w:sz w:val="22"/>
          <w:szCs w:val="22"/>
        </w:rPr>
        <w:t>incarnato</w:t>
      </w:r>
      <w:r w:rsidR="00C419E0">
        <w:rPr>
          <w:rFonts w:ascii="Times New Roman" w:hAnsi="Times New Roman" w:cs="Times New Roman"/>
          <w:sz w:val="22"/>
          <w:szCs w:val="22"/>
        </w:rPr>
        <w:t xml:space="preserve"> da sacerdoti-negromanti dai contorni demoniaci. La dimensione religiosa dell’India, complessa, ambigua e per lo più ignota alla stragrande maggioranza degli Europei, </w:t>
      </w:r>
      <w:r w:rsidR="00145145">
        <w:rPr>
          <w:rFonts w:ascii="Times New Roman" w:hAnsi="Times New Roman" w:cs="Times New Roman"/>
          <w:sz w:val="22"/>
          <w:szCs w:val="22"/>
        </w:rPr>
        <w:t>alimentava visioni di divinità inquietanti e di riti orribili.</w:t>
      </w:r>
      <w:r w:rsidR="00C14CF7">
        <w:rPr>
          <w:rFonts w:ascii="Times New Roman" w:hAnsi="Times New Roman" w:cs="Times New Roman"/>
          <w:sz w:val="22"/>
          <w:szCs w:val="22"/>
        </w:rPr>
        <w:t xml:space="preserve"> Se da un lato sconvolgeva missionari e signore vittoriane, dall’altro solleticava oscuramente il bisogno di trasgressione e di sensualità rigorosamente bandite in Europa dalla religione e dalla morale corrente. S</w:t>
      </w:r>
      <w:r w:rsidR="00C14CF7" w:rsidRPr="00191545">
        <w:rPr>
          <w:rFonts w:ascii="Times New Roman" w:hAnsi="Times New Roman" w:cs="Times New Roman"/>
          <w:sz w:val="22"/>
          <w:szCs w:val="22"/>
        </w:rPr>
        <w:t xml:space="preserve">ebbene </w:t>
      </w:r>
      <w:r w:rsidR="00C14CF7">
        <w:rPr>
          <w:rFonts w:ascii="Times New Roman" w:hAnsi="Times New Roman" w:cs="Times New Roman"/>
          <w:sz w:val="22"/>
          <w:szCs w:val="22"/>
        </w:rPr>
        <w:t xml:space="preserve">dunque </w:t>
      </w:r>
      <w:r w:rsidR="00C14CF7" w:rsidRPr="00191545">
        <w:rPr>
          <w:rFonts w:ascii="Times New Roman" w:hAnsi="Times New Roman" w:cs="Times New Roman"/>
          <w:sz w:val="22"/>
          <w:szCs w:val="22"/>
        </w:rPr>
        <w:t>a</w:t>
      </w:r>
      <w:r w:rsidR="00336E4C">
        <w:rPr>
          <w:rFonts w:ascii="Times New Roman" w:hAnsi="Times New Roman" w:cs="Times New Roman"/>
          <w:sz w:val="22"/>
          <w:szCs w:val="22"/>
        </w:rPr>
        <w:t>lla luce dell’etica cristiana si</w:t>
      </w:r>
      <w:r w:rsidR="00C14CF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7F42B3">
        <w:rPr>
          <w:rFonts w:ascii="Times New Roman" w:hAnsi="Times New Roman" w:cs="Times New Roman"/>
          <w:sz w:val="22"/>
          <w:szCs w:val="22"/>
        </w:rPr>
        <w:t>condannassero</w:t>
      </w:r>
      <w:r w:rsidR="00C14CF7" w:rsidRPr="00191545">
        <w:rPr>
          <w:rFonts w:ascii="Times New Roman" w:hAnsi="Times New Roman" w:cs="Times New Roman"/>
          <w:sz w:val="22"/>
          <w:szCs w:val="22"/>
        </w:rPr>
        <w:t xml:space="preserve"> i barbari costumi</w:t>
      </w:r>
      <w:r w:rsidR="00336E4C">
        <w:rPr>
          <w:rFonts w:ascii="Times New Roman" w:hAnsi="Times New Roman" w:cs="Times New Roman"/>
          <w:sz w:val="22"/>
          <w:szCs w:val="22"/>
        </w:rPr>
        <w:t xml:space="preserve"> religiosi e sociali dell’India</w:t>
      </w:r>
      <w:r w:rsidR="00C14CF7" w:rsidRPr="00191545">
        <w:rPr>
          <w:rFonts w:ascii="Times New Roman" w:hAnsi="Times New Roman" w:cs="Times New Roman"/>
          <w:sz w:val="22"/>
          <w:szCs w:val="22"/>
        </w:rPr>
        <w:t>, lo si faceva con un recondito fremito di piacere e desiderio</w:t>
      </w:r>
      <w:r w:rsidR="00336E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E8E395" w14:textId="13A2DAD2" w:rsidR="00BE7C3E" w:rsidRDefault="00336E4C" w:rsidP="00BE7C3E">
      <w:pPr>
        <w:spacing w:line="360" w:lineRule="auto"/>
        <w:ind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sz w:val="22"/>
          <w:szCs w:val="22"/>
        </w:rPr>
        <w:t>Davanti alle statue di divinità seminude, alle danze lascive e alle porte chiuse degli</w:t>
      </w:r>
      <w:r w:rsidR="00C14CF7">
        <w:rPr>
          <w:rFonts w:ascii="Times New Roman" w:hAnsi="Times New Roman" w:cs="Times New Roman"/>
          <w:sz w:val="22"/>
          <w:szCs w:val="22"/>
        </w:rPr>
        <w:t xml:space="preserve"> harem </w:t>
      </w:r>
      <w:r>
        <w:rPr>
          <w:rFonts w:ascii="Times New Roman" w:hAnsi="Times New Roman" w:cs="Times New Roman"/>
          <w:sz w:val="22"/>
          <w:szCs w:val="22"/>
        </w:rPr>
        <w:t>l’Europa sognava il proibito: simbolo</w:t>
      </w:r>
      <w:r w:rsidR="00C854B9">
        <w:rPr>
          <w:rFonts w:ascii="Times New Roman" w:hAnsi="Times New Roman" w:cs="Times New Roman"/>
          <w:sz w:val="22"/>
          <w:szCs w:val="22"/>
        </w:rPr>
        <w:t xml:space="preserve"> vivente di tutto questo, la </w:t>
      </w:r>
      <w:r w:rsidR="002331A2">
        <w:rPr>
          <w:rFonts w:ascii="Times New Roman" w:hAnsi="Times New Roman" w:cs="Times New Roman"/>
          <w:sz w:val="22"/>
          <w:szCs w:val="22"/>
        </w:rPr>
        <w:t>baiadera</w:t>
      </w:r>
      <w:r w:rsidR="00C854B9">
        <w:rPr>
          <w:rFonts w:ascii="Times New Roman" w:hAnsi="Times New Roman" w:cs="Times New Roman"/>
          <w:sz w:val="22"/>
          <w:szCs w:val="22"/>
        </w:rPr>
        <w:t xml:space="preserve">, dal portoghese </w:t>
      </w:r>
      <w:proofErr w:type="spellStart"/>
      <w:r w:rsidR="00C854B9" w:rsidRPr="00C854B9">
        <w:rPr>
          <w:rFonts w:ascii="Times New Roman" w:hAnsi="Times New Roman" w:cs="Times New Roman"/>
          <w:i/>
          <w:sz w:val="22"/>
          <w:szCs w:val="22"/>
        </w:rPr>
        <w:t>bailadeira</w:t>
      </w:r>
      <w:proofErr w:type="spellEnd"/>
      <w:r w:rsidR="00C854B9">
        <w:rPr>
          <w:rFonts w:ascii="Times New Roman" w:hAnsi="Times New Roman" w:cs="Times New Roman"/>
          <w:sz w:val="22"/>
          <w:szCs w:val="22"/>
        </w:rPr>
        <w:t xml:space="preserve">, </w:t>
      </w:r>
      <w:r w:rsidR="007F1F2B">
        <w:rPr>
          <w:rFonts w:ascii="Times New Roman" w:hAnsi="Times New Roman" w:cs="Times New Roman"/>
          <w:sz w:val="22"/>
          <w:szCs w:val="22"/>
        </w:rPr>
        <w:t>“</w:t>
      </w:r>
      <w:r w:rsidR="00C854B9">
        <w:rPr>
          <w:rFonts w:ascii="Times New Roman" w:hAnsi="Times New Roman" w:cs="Times New Roman"/>
          <w:sz w:val="22"/>
          <w:szCs w:val="22"/>
        </w:rPr>
        <w:t>ballerina</w:t>
      </w:r>
      <w:r w:rsidR="007F1F2B">
        <w:rPr>
          <w:rFonts w:ascii="Times New Roman" w:hAnsi="Times New Roman" w:cs="Times New Roman"/>
          <w:sz w:val="22"/>
          <w:szCs w:val="22"/>
        </w:rPr>
        <w:t xml:space="preserve">”, la danzatrice sacra. </w:t>
      </w:r>
      <w:r w:rsidR="00BE7C3E">
        <w:rPr>
          <w:rFonts w:ascii="Times New Roman" w:hAnsi="Times New Roman" w:cs="Times New Roman"/>
          <w:sz w:val="22"/>
          <w:szCs w:val="22"/>
        </w:rPr>
        <w:t>Personaggi</w:t>
      </w:r>
      <w:r w:rsidR="007F1F2B">
        <w:rPr>
          <w:rFonts w:ascii="Times New Roman" w:hAnsi="Times New Roman" w:cs="Times New Roman"/>
          <w:sz w:val="22"/>
          <w:szCs w:val="22"/>
        </w:rPr>
        <w:t xml:space="preserve"> di </w:t>
      </w:r>
      <w:r w:rsidR="00BE7C3E">
        <w:rPr>
          <w:rFonts w:ascii="Times New Roman" w:hAnsi="Times New Roman" w:cs="Times New Roman"/>
          <w:sz w:val="22"/>
          <w:szCs w:val="22"/>
        </w:rPr>
        <w:t>antica e rinomata tr</w:t>
      </w:r>
      <w:r w:rsidR="001D60C8">
        <w:rPr>
          <w:rFonts w:ascii="Times New Roman" w:hAnsi="Times New Roman" w:cs="Times New Roman"/>
          <w:sz w:val="22"/>
          <w:szCs w:val="22"/>
        </w:rPr>
        <w:t xml:space="preserve">adizione – citate da Marco Polo e Nicolò de Conti (1395-1469) - </w:t>
      </w:r>
      <w:r w:rsidR="00BE7C3E">
        <w:rPr>
          <w:rFonts w:ascii="Times New Roman" w:hAnsi="Times New Roman" w:cs="Times New Roman"/>
          <w:sz w:val="22"/>
          <w:szCs w:val="22"/>
        </w:rPr>
        <w:t>le</w:t>
      </w:r>
      <w:r w:rsidR="007F1F2B">
        <w:rPr>
          <w:rFonts w:ascii="Times New Roman" w:hAnsi="Times New Roman" w:cs="Times New Roman"/>
          <w:sz w:val="22"/>
          <w:szCs w:val="22"/>
        </w:rPr>
        <w:t xml:space="preserve"> </w:t>
      </w:r>
      <w:r w:rsidR="00912345">
        <w:rPr>
          <w:rFonts w:ascii="Times New Roman" w:hAnsi="Times New Roman" w:cs="Times New Roman"/>
          <w:sz w:val="22"/>
          <w:szCs w:val="22"/>
        </w:rPr>
        <w:t xml:space="preserve">danzatrici sacre, le </w:t>
      </w:r>
      <w:r w:rsidR="007F1F2B" w:rsidRPr="005B39AB">
        <w:rPr>
          <w:rFonts w:ascii="Times New Roman" w:hAnsi="Times New Roman" w:cs="Times New Roman"/>
          <w:i/>
          <w:sz w:val="22"/>
          <w:szCs w:val="22"/>
        </w:rPr>
        <w:t>devadasi</w:t>
      </w:r>
      <w:r w:rsidR="00912345">
        <w:rPr>
          <w:rFonts w:ascii="Times New Roman" w:hAnsi="Times New Roman" w:cs="Times New Roman"/>
          <w:sz w:val="22"/>
          <w:szCs w:val="22"/>
        </w:rPr>
        <w:t xml:space="preserve"> ovvero</w:t>
      </w:r>
      <w:r w:rsidR="007F1F2B">
        <w:rPr>
          <w:rFonts w:ascii="Times New Roman" w:hAnsi="Times New Roman" w:cs="Times New Roman"/>
          <w:sz w:val="22"/>
          <w:szCs w:val="22"/>
        </w:rPr>
        <w:t xml:space="preserve"> “</w:t>
      </w:r>
      <w:r w:rsidR="00BE7C3E">
        <w:rPr>
          <w:rFonts w:ascii="Times New Roman" w:hAnsi="Times New Roman" w:cs="Times New Roman"/>
          <w:sz w:val="22"/>
          <w:szCs w:val="22"/>
        </w:rPr>
        <w:t>ancelle</w:t>
      </w:r>
      <w:r w:rsidR="007F1F2B">
        <w:rPr>
          <w:rFonts w:ascii="Times New Roman" w:hAnsi="Times New Roman" w:cs="Times New Roman"/>
          <w:sz w:val="22"/>
          <w:szCs w:val="22"/>
        </w:rPr>
        <w:t xml:space="preserve"> degli dei”</w:t>
      </w:r>
      <w:r w:rsidR="00BE7C3E">
        <w:rPr>
          <w:rFonts w:ascii="Times New Roman" w:hAnsi="Times New Roman" w:cs="Times New Roman"/>
          <w:sz w:val="22"/>
          <w:szCs w:val="22"/>
        </w:rPr>
        <w:t>, erano</w:t>
      </w:r>
      <w:r w:rsidR="00DF6E1C" w:rsidRPr="00974260">
        <w:rPr>
          <w:rFonts w:ascii="Times New Roman" w:hAnsi="Times New Roman"/>
          <w:sz w:val="22"/>
        </w:rPr>
        <w:t xml:space="preserve"> fanciulle d’alto lignaggio, dedicate dalle loro famiglie al servizio rituale nei templi. Non solo apprendevano la danza, ma ricevevano un’ottima educazione in discipline artistiche e altri campi del s</w:t>
      </w:r>
      <w:r w:rsidR="00EF4263">
        <w:rPr>
          <w:rFonts w:ascii="Times New Roman" w:hAnsi="Times New Roman"/>
          <w:sz w:val="22"/>
        </w:rPr>
        <w:t>apere. Ritenute spose del dio al quale</w:t>
      </w:r>
      <w:r w:rsidR="00DF6E1C" w:rsidRPr="00974260">
        <w:rPr>
          <w:rFonts w:ascii="Times New Roman" w:hAnsi="Times New Roman"/>
          <w:sz w:val="22"/>
        </w:rPr>
        <w:t xml:space="preserve"> erano dedicate e dunque depositarie del suo potere e della sua grazia, furono in alcuni casi protagoniste di riti erotici finalizzati a garantire la prosperità del regno. </w:t>
      </w:r>
    </w:p>
    <w:p w14:paraId="0140D18C" w14:textId="059D8565" w:rsidR="00DF6E1C" w:rsidRPr="00974260" w:rsidRDefault="00DF6E1C" w:rsidP="00BE7C3E">
      <w:pPr>
        <w:spacing w:line="360" w:lineRule="auto"/>
        <w:ind w:firstLine="426"/>
        <w:jc w:val="both"/>
        <w:rPr>
          <w:rFonts w:ascii="Times New Roman" w:hAnsi="Times New Roman"/>
          <w:sz w:val="22"/>
        </w:rPr>
      </w:pPr>
      <w:r w:rsidRPr="00974260">
        <w:rPr>
          <w:rFonts w:ascii="Times New Roman" w:hAnsi="Times New Roman"/>
          <w:sz w:val="22"/>
        </w:rPr>
        <w:t>L</w:t>
      </w:r>
      <w:r w:rsidR="00F11ECD">
        <w:rPr>
          <w:rFonts w:ascii="Times New Roman" w:hAnsi="Times New Roman"/>
          <w:sz w:val="22"/>
        </w:rPr>
        <w:t>a</w:t>
      </w:r>
      <w:r w:rsidRPr="00974260">
        <w:rPr>
          <w:rFonts w:ascii="Times New Roman" w:hAnsi="Times New Roman"/>
          <w:sz w:val="22"/>
        </w:rPr>
        <w:t xml:space="preserve"> scomparsa delle grandi dinastie h</w:t>
      </w:r>
      <w:r w:rsidR="00F11ECD">
        <w:rPr>
          <w:rFonts w:ascii="Times New Roman" w:hAnsi="Times New Roman"/>
          <w:sz w:val="22"/>
        </w:rPr>
        <w:t>indu che patrocinavano i templi costrinse</w:t>
      </w:r>
      <w:r w:rsidRPr="00974260">
        <w:rPr>
          <w:rFonts w:ascii="Times New Roman" w:hAnsi="Times New Roman"/>
          <w:sz w:val="22"/>
        </w:rPr>
        <w:t xml:space="preserve"> le </w:t>
      </w:r>
      <w:r w:rsidR="00BE7C3E" w:rsidRPr="005B39AB">
        <w:rPr>
          <w:rFonts w:ascii="Times New Roman" w:hAnsi="Times New Roman" w:cs="Times New Roman"/>
          <w:i/>
          <w:sz w:val="22"/>
          <w:szCs w:val="22"/>
        </w:rPr>
        <w:t>devadasi</w:t>
      </w:r>
      <w:r w:rsidR="00BE7C3E" w:rsidRPr="00974260">
        <w:rPr>
          <w:rFonts w:ascii="Times New Roman" w:hAnsi="Times New Roman"/>
          <w:sz w:val="22"/>
        </w:rPr>
        <w:t xml:space="preserve"> </w:t>
      </w:r>
      <w:r w:rsidR="00BE7C3E">
        <w:rPr>
          <w:rFonts w:ascii="Times New Roman" w:hAnsi="Times New Roman"/>
          <w:sz w:val="22"/>
        </w:rPr>
        <w:t>a</w:t>
      </w:r>
      <w:r w:rsidRPr="00974260">
        <w:rPr>
          <w:rFonts w:ascii="Times New Roman" w:hAnsi="Times New Roman"/>
          <w:sz w:val="22"/>
        </w:rPr>
        <w:t xml:space="preserve"> esibirs</w:t>
      </w:r>
      <w:r w:rsidR="00F11ECD">
        <w:rPr>
          <w:rFonts w:ascii="Times New Roman" w:hAnsi="Times New Roman"/>
          <w:sz w:val="22"/>
        </w:rPr>
        <w:t>i fuori dal complesso sacro</w:t>
      </w:r>
      <w:r w:rsidR="00596B68">
        <w:rPr>
          <w:rFonts w:ascii="Times New Roman" w:hAnsi="Times New Roman"/>
          <w:sz w:val="22"/>
        </w:rPr>
        <w:t>,</w:t>
      </w:r>
      <w:r w:rsidRPr="00974260">
        <w:rPr>
          <w:rFonts w:ascii="Times New Roman" w:hAnsi="Times New Roman"/>
          <w:sz w:val="22"/>
        </w:rPr>
        <w:t xml:space="preserve"> ridotte a ballerine prezzolate</w:t>
      </w:r>
      <w:r w:rsidR="00596B68">
        <w:rPr>
          <w:rFonts w:ascii="Times New Roman" w:hAnsi="Times New Roman"/>
          <w:sz w:val="22"/>
        </w:rPr>
        <w:t xml:space="preserve"> e a prostitute. Gli</w:t>
      </w:r>
      <w:r w:rsidRPr="00974260">
        <w:rPr>
          <w:rFonts w:ascii="Times New Roman" w:hAnsi="Times New Roman"/>
          <w:sz w:val="22"/>
        </w:rPr>
        <w:t xml:space="preserve"> stessi indiani, imbevuti di cultura vittoriana, intrapresero alla fine dell’Ottocento una campagna per la soppressione delle danze nei templi. Fortunatamente</w:t>
      </w:r>
      <w:r w:rsidRPr="00974260">
        <w:rPr>
          <w:rFonts w:ascii="Times New Roman" w:hAnsi="Times New Roman"/>
          <w:i/>
          <w:sz w:val="22"/>
        </w:rPr>
        <w:t xml:space="preserve"> </w:t>
      </w:r>
      <w:r w:rsidRPr="00974260">
        <w:rPr>
          <w:rFonts w:ascii="Times New Roman" w:hAnsi="Times New Roman"/>
          <w:sz w:val="22"/>
        </w:rPr>
        <w:t xml:space="preserve">un gruppo di personalità illuminate </w:t>
      </w:r>
      <w:r w:rsidR="00596B68">
        <w:rPr>
          <w:rFonts w:ascii="Times New Roman" w:hAnsi="Times New Roman"/>
          <w:sz w:val="22"/>
        </w:rPr>
        <w:t xml:space="preserve">si </w:t>
      </w:r>
      <w:r w:rsidR="00F0431A">
        <w:rPr>
          <w:rFonts w:ascii="Times New Roman" w:hAnsi="Times New Roman"/>
          <w:sz w:val="22"/>
        </w:rPr>
        <w:t>batté</w:t>
      </w:r>
      <w:r w:rsidR="00596B68">
        <w:rPr>
          <w:rFonts w:ascii="Times New Roman" w:hAnsi="Times New Roman"/>
          <w:sz w:val="22"/>
        </w:rPr>
        <w:t xml:space="preserve"> per restituir</w:t>
      </w:r>
      <w:r w:rsidRPr="00974260">
        <w:rPr>
          <w:rFonts w:ascii="Times New Roman" w:hAnsi="Times New Roman"/>
          <w:sz w:val="22"/>
        </w:rPr>
        <w:t>e la dignità</w:t>
      </w:r>
      <w:r w:rsidR="00596B68">
        <w:rPr>
          <w:rFonts w:ascii="Times New Roman" w:hAnsi="Times New Roman"/>
          <w:sz w:val="22"/>
        </w:rPr>
        <w:t xml:space="preserve"> alle danze sacre e impedirne la scomparsa</w:t>
      </w:r>
      <w:r w:rsidRPr="00974260">
        <w:rPr>
          <w:rFonts w:ascii="Times New Roman" w:hAnsi="Times New Roman"/>
          <w:sz w:val="22"/>
        </w:rPr>
        <w:t xml:space="preserve">. </w:t>
      </w:r>
    </w:p>
    <w:p w14:paraId="6DDA0D3E" w14:textId="7128564C" w:rsidR="00C14CF7" w:rsidRDefault="004307EE" w:rsidP="00C6307C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Ignara di tali controversie, l’</w:t>
      </w:r>
      <w:r w:rsidR="00730A0F">
        <w:rPr>
          <w:rFonts w:ascii="Times New Roman" w:hAnsi="Times New Roman" w:cs="Times New Roman"/>
          <w:sz w:val="22"/>
          <w:szCs w:val="22"/>
        </w:rPr>
        <w:t xml:space="preserve">Europa </w:t>
      </w:r>
      <w:r>
        <w:rPr>
          <w:rFonts w:ascii="Times New Roman" w:hAnsi="Times New Roman" w:cs="Times New Roman"/>
          <w:sz w:val="22"/>
          <w:szCs w:val="22"/>
        </w:rPr>
        <w:t>vedeva</w:t>
      </w:r>
      <w:r w:rsidR="00730A0F">
        <w:rPr>
          <w:rFonts w:ascii="Times New Roman" w:hAnsi="Times New Roman" w:cs="Times New Roman"/>
          <w:sz w:val="22"/>
          <w:szCs w:val="22"/>
        </w:rPr>
        <w:t xml:space="preserve"> la </w:t>
      </w:r>
      <w:r w:rsidR="002331A2">
        <w:rPr>
          <w:rFonts w:ascii="Times New Roman" w:hAnsi="Times New Roman" w:cs="Times New Roman"/>
          <w:sz w:val="22"/>
          <w:szCs w:val="22"/>
        </w:rPr>
        <w:t>baiadera</w:t>
      </w:r>
      <w:r w:rsidR="00730A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come incarnazione di</w:t>
      </w:r>
      <w:r w:rsidR="00730A0F">
        <w:rPr>
          <w:rFonts w:ascii="Times New Roman" w:hAnsi="Times New Roman" w:cs="Times New Roman"/>
          <w:sz w:val="22"/>
          <w:szCs w:val="22"/>
        </w:rPr>
        <w:t xml:space="preserve"> voluttà ed esotico erotismo</w:t>
      </w:r>
      <w:r>
        <w:rPr>
          <w:rFonts w:ascii="Times New Roman" w:hAnsi="Times New Roman" w:cs="Times New Roman"/>
          <w:sz w:val="22"/>
          <w:szCs w:val="22"/>
        </w:rPr>
        <w:t xml:space="preserve"> e dunque </w:t>
      </w:r>
      <w:r w:rsidR="008B6C83">
        <w:rPr>
          <w:rFonts w:ascii="Times New Roman" w:hAnsi="Times New Roman" w:cs="Times New Roman"/>
          <w:sz w:val="22"/>
          <w:szCs w:val="22"/>
        </w:rPr>
        <w:t>la utilizzò come</w:t>
      </w:r>
      <w:r>
        <w:rPr>
          <w:rFonts w:ascii="Times New Roman" w:hAnsi="Times New Roman" w:cs="Times New Roman"/>
          <w:sz w:val="22"/>
          <w:szCs w:val="22"/>
        </w:rPr>
        <w:t xml:space="preserve"> soggetto teatrale </w:t>
      </w:r>
      <w:r w:rsidR="008B6C83">
        <w:rPr>
          <w:rFonts w:ascii="Times New Roman" w:hAnsi="Times New Roman" w:cs="Times New Roman"/>
          <w:sz w:val="22"/>
          <w:szCs w:val="22"/>
        </w:rPr>
        <w:t>con</w:t>
      </w:r>
      <w:r>
        <w:rPr>
          <w:rFonts w:ascii="Times New Roman" w:hAnsi="Times New Roman" w:cs="Times New Roman"/>
          <w:sz w:val="22"/>
          <w:szCs w:val="22"/>
        </w:rPr>
        <w:t xml:space="preserve"> notevole fortuna</w:t>
      </w:r>
      <w:r w:rsidR="00730A0F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Filippo Taglioni mise in scena nel 1830 il balletto </w:t>
      </w:r>
      <w:r w:rsidRPr="00C6307C">
        <w:rPr>
          <w:rFonts w:ascii="Times New Roman" w:hAnsi="Times New Roman" w:cs="Times New Roman"/>
          <w:i/>
          <w:sz w:val="22"/>
          <w:szCs w:val="22"/>
        </w:rPr>
        <w:t xml:space="preserve">Le </w:t>
      </w:r>
      <w:proofErr w:type="spellStart"/>
      <w:r w:rsidRPr="00C6307C">
        <w:rPr>
          <w:rFonts w:ascii="Times New Roman" w:hAnsi="Times New Roman" w:cs="Times New Roman"/>
          <w:i/>
          <w:sz w:val="22"/>
          <w:szCs w:val="22"/>
        </w:rPr>
        <w:t>Dieu</w:t>
      </w:r>
      <w:proofErr w:type="spellEnd"/>
      <w:r w:rsidRPr="00C6307C">
        <w:rPr>
          <w:rFonts w:ascii="Times New Roman" w:hAnsi="Times New Roman" w:cs="Times New Roman"/>
          <w:i/>
          <w:sz w:val="22"/>
          <w:szCs w:val="22"/>
        </w:rPr>
        <w:t xml:space="preserve"> e la </w:t>
      </w:r>
      <w:proofErr w:type="spellStart"/>
      <w:r w:rsidRPr="00C6307C">
        <w:rPr>
          <w:rFonts w:ascii="Times New Roman" w:hAnsi="Times New Roman" w:cs="Times New Roman"/>
          <w:i/>
          <w:sz w:val="22"/>
          <w:szCs w:val="22"/>
        </w:rPr>
        <w:t>Bayadère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ma tra le molte coreografie </w:t>
      </w:r>
      <w:r w:rsidR="00BF5683">
        <w:rPr>
          <w:rFonts w:ascii="Times New Roman" w:hAnsi="Times New Roman" w:cs="Times New Roman"/>
          <w:sz w:val="22"/>
          <w:szCs w:val="22"/>
        </w:rPr>
        <w:t xml:space="preserve">in merito </w:t>
      </w:r>
      <w:r>
        <w:rPr>
          <w:rFonts w:ascii="Times New Roman" w:hAnsi="Times New Roman" w:cs="Times New Roman"/>
          <w:sz w:val="22"/>
          <w:szCs w:val="22"/>
        </w:rPr>
        <w:t xml:space="preserve">la più famosa fu quella di Marius </w:t>
      </w:r>
      <w:proofErr w:type="spellStart"/>
      <w:r>
        <w:rPr>
          <w:rFonts w:ascii="Times New Roman" w:hAnsi="Times New Roman" w:cs="Times New Roman"/>
          <w:sz w:val="22"/>
          <w:szCs w:val="22"/>
        </w:rPr>
        <w:t>Petipa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6B45"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</w:rPr>
        <w:t xml:space="preserve"> musica di Ludwig </w:t>
      </w:r>
      <w:proofErr w:type="spellStart"/>
      <w:r>
        <w:rPr>
          <w:rFonts w:ascii="Times New Roman" w:hAnsi="Times New Roman" w:cs="Times New Roman"/>
          <w:sz w:val="22"/>
          <w:szCs w:val="22"/>
        </w:rPr>
        <w:t>Mincus</w:t>
      </w:r>
      <w:proofErr w:type="spellEnd"/>
      <w:r w:rsidR="007F6B45">
        <w:rPr>
          <w:rFonts w:ascii="Times New Roman" w:hAnsi="Times New Roman" w:cs="Times New Roman"/>
          <w:sz w:val="22"/>
          <w:szCs w:val="22"/>
        </w:rPr>
        <w:t xml:space="preserve"> che andò in scena nel 1877 a San Pietroburgo. La trama </w:t>
      </w:r>
      <w:r w:rsidR="00BF5683">
        <w:rPr>
          <w:rFonts w:ascii="Times New Roman" w:hAnsi="Times New Roman" w:cs="Times New Roman"/>
          <w:sz w:val="22"/>
          <w:szCs w:val="22"/>
        </w:rPr>
        <w:t xml:space="preserve">era </w:t>
      </w:r>
      <w:r w:rsidR="007F6B45">
        <w:rPr>
          <w:rFonts w:ascii="Times New Roman" w:hAnsi="Times New Roman" w:cs="Times New Roman"/>
          <w:sz w:val="22"/>
          <w:szCs w:val="22"/>
        </w:rPr>
        <w:t>sempre la stessa: passione, intrigo, eventi sop</w:t>
      </w:r>
      <w:r w:rsidR="006D7932">
        <w:rPr>
          <w:rFonts w:ascii="Times New Roman" w:hAnsi="Times New Roman" w:cs="Times New Roman"/>
          <w:sz w:val="22"/>
          <w:szCs w:val="22"/>
        </w:rPr>
        <w:t>rannaturali, morte</w:t>
      </w:r>
      <w:r w:rsidR="00BF5683">
        <w:rPr>
          <w:rFonts w:ascii="Times New Roman" w:hAnsi="Times New Roman" w:cs="Times New Roman"/>
          <w:sz w:val="22"/>
          <w:szCs w:val="22"/>
        </w:rPr>
        <w:t>,</w:t>
      </w:r>
      <w:r w:rsidR="006D7932">
        <w:rPr>
          <w:rFonts w:ascii="Times New Roman" w:hAnsi="Times New Roman" w:cs="Times New Roman"/>
          <w:sz w:val="22"/>
          <w:szCs w:val="22"/>
        </w:rPr>
        <w:t xml:space="preserve"> tra un turbinio di veli</w:t>
      </w:r>
      <w:r w:rsidR="00BF5683">
        <w:rPr>
          <w:rFonts w:ascii="Times New Roman" w:hAnsi="Times New Roman" w:cs="Times New Roman"/>
          <w:sz w:val="22"/>
          <w:szCs w:val="22"/>
        </w:rPr>
        <w:t xml:space="preserve"> e fumi d’incenso</w:t>
      </w:r>
      <w:r w:rsidR="006D7932">
        <w:rPr>
          <w:rFonts w:ascii="Times New Roman" w:hAnsi="Times New Roman" w:cs="Times New Roman"/>
          <w:sz w:val="22"/>
          <w:szCs w:val="22"/>
        </w:rPr>
        <w:t>.</w:t>
      </w:r>
      <w:r w:rsidR="00CD1355">
        <w:rPr>
          <w:rFonts w:ascii="Times New Roman" w:hAnsi="Times New Roman" w:cs="Times New Roman"/>
          <w:sz w:val="22"/>
          <w:szCs w:val="22"/>
        </w:rPr>
        <w:t xml:space="preserve"> </w:t>
      </w:r>
      <w:r w:rsidR="00A31275">
        <w:rPr>
          <w:rFonts w:ascii="Times New Roman" w:hAnsi="Times New Roman" w:cs="Times New Roman"/>
          <w:sz w:val="22"/>
          <w:szCs w:val="22"/>
        </w:rPr>
        <w:t xml:space="preserve">Nel </w:t>
      </w:r>
      <w:r w:rsidR="00CD1355">
        <w:rPr>
          <w:rFonts w:ascii="Times New Roman" w:hAnsi="Times New Roman" w:cs="Times New Roman"/>
          <w:sz w:val="22"/>
          <w:szCs w:val="22"/>
        </w:rPr>
        <w:t xml:space="preserve">frattempo, nel </w:t>
      </w:r>
      <w:r w:rsidR="00A31275">
        <w:rPr>
          <w:rFonts w:ascii="Times New Roman" w:hAnsi="Times New Roman" w:cs="Times New Roman"/>
          <w:sz w:val="22"/>
          <w:szCs w:val="22"/>
        </w:rPr>
        <w:t>1839</w:t>
      </w:r>
      <w:r w:rsidR="00CD1355">
        <w:rPr>
          <w:rFonts w:ascii="Times New Roman" w:hAnsi="Times New Roman" w:cs="Times New Roman"/>
          <w:sz w:val="22"/>
          <w:szCs w:val="22"/>
        </w:rPr>
        <w:t>,</w:t>
      </w:r>
      <w:r w:rsidR="00A31275">
        <w:rPr>
          <w:rFonts w:ascii="Times New Roman" w:hAnsi="Times New Roman" w:cs="Times New Roman"/>
          <w:sz w:val="22"/>
          <w:szCs w:val="22"/>
        </w:rPr>
        <w:t xml:space="preserve"> una compagnia di </w:t>
      </w:r>
      <w:r w:rsidR="00CD1355">
        <w:rPr>
          <w:rFonts w:ascii="Times New Roman" w:hAnsi="Times New Roman" w:cs="Times New Roman"/>
          <w:sz w:val="22"/>
          <w:szCs w:val="22"/>
        </w:rPr>
        <w:t xml:space="preserve">vere </w:t>
      </w:r>
      <w:r w:rsidR="002331A2">
        <w:rPr>
          <w:rFonts w:ascii="Times New Roman" w:hAnsi="Times New Roman" w:cs="Times New Roman"/>
          <w:sz w:val="22"/>
          <w:szCs w:val="22"/>
        </w:rPr>
        <w:t>baiadere</w:t>
      </w:r>
      <w:r w:rsidR="00A31275">
        <w:rPr>
          <w:rFonts w:ascii="Times New Roman" w:hAnsi="Times New Roman" w:cs="Times New Roman"/>
          <w:sz w:val="22"/>
          <w:szCs w:val="22"/>
        </w:rPr>
        <w:t xml:space="preserve"> si </w:t>
      </w:r>
      <w:r w:rsidR="00CD1355">
        <w:rPr>
          <w:rFonts w:ascii="Times New Roman" w:hAnsi="Times New Roman" w:cs="Times New Roman"/>
          <w:sz w:val="22"/>
          <w:szCs w:val="22"/>
        </w:rPr>
        <w:t>era esibita</w:t>
      </w:r>
      <w:r w:rsidR="00A31275">
        <w:rPr>
          <w:rFonts w:ascii="Times New Roman" w:hAnsi="Times New Roman" w:cs="Times New Roman"/>
          <w:sz w:val="22"/>
          <w:szCs w:val="22"/>
        </w:rPr>
        <w:t xml:space="preserve"> a Parigi</w:t>
      </w:r>
      <w:r w:rsidR="00CD1355">
        <w:rPr>
          <w:rFonts w:ascii="Times New Roman" w:hAnsi="Times New Roman" w:cs="Times New Roman"/>
          <w:sz w:val="22"/>
          <w:szCs w:val="22"/>
        </w:rPr>
        <w:t>,</w:t>
      </w:r>
      <w:r w:rsidR="00A31275">
        <w:rPr>
          <w:rFonts w:ascii="Times New Roman" w:hAnsi="Times New Roman" w:cs="Times New Roman"/>
          <w:sz w:val="22"/>
          <w:szCs w:val="22"/>
        </w:rPr>
        <w:t xml:space="preserve"> </w:t>
      </w:r>
      <w:r w:rsidR="00CD1355">
        <w:rPr>
          <w:rFonts w:ascii="Times New Roman" w:hAnsi="Times New Roman" w:cs="Times New Roman"/>
          <w:sz w:val="22"/>
          <w:szCs w:val="22"/>
        </w:rPr>
        <w:t>entusias</w:t>
      </w:r>
      <w:r w:rsidR="00C6307C">
        <w:rPr>
          <w:rFonts w:ascii="Times New Roman" w:hAnsi="Times New Roman" w:cs="Times New Roman"/>
          <w:sz w:val="22"/>
          <w:szCs w:val="22"/>
        </w:rPr>
        <w:t xml:space="preserve">mando gli </w:t>
      </w:r>
      <w:r w:rsidR="00C6307C">
        <w:rPr>
          <w:rFonts w:ascii="Times New Roman" w:hAnsi="Times New Roman" w:cs="Times New Roman"/>
          <w:sz w:val="22"/>
          <w:szCs w:val="22"/>
        </w:rPr>
        <w:lastRenderedPageBreak/>
        <w:t xml:space="preserve">spettatori, tra cui </w:t>
      </w:r>
      <w:proofErr w:type="spellStart"/>
      <w:r w:rsidR="00C6307C">
        <w:rPr>
          <w:rFonts w:ascii="Times New Roman" w:hAnsi="Times New Roman" w:cs="Times New Roman"/>
          <w:sz w:val="22"/>
          <w:szCs w:val="22"/>
        </w:rPr>
        <w:t>Théophile</w:t>
      </w:r>
      <w:proofErr w:type="spellEnd"/>
      <w:r w:rsidR="00C630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6307C">
        <w:rPr>
          <w:rFonts w:ascii="Times New Roman" w:hAnsi="Times New Roman" w:cs="Times New Roman"/>
          <w:sz w:val="22"/>
          <w:szCs w:val="22"/>
        </w:rPr>
        <w:t>Gautier</w:t>
      </w:r>
      <w:proofErr w:type="spellEnd"/>
      <w:r w:rsidR="00C6307C">
        <w:rPr>
          <w:rFonts w:ascii="Times New Roman" w:hAnsi="Times New Roman" w:cs="Times New Roman"/>
          <w:sz w:val="22"/>
          <w:szCs w:val="22"/>
        </w:rPr>
        <w:t xml:space="preserve">: non si trattava solo di danzatrici, ma di </w:t>
      </w:r>
      <w:r w:rsidR="00241CF4">
        <w:rPr>
          <w:rFonts w:ascii="Times New Roman" w:hAnsi="Times New Roman" w:cs="Times New Roman"/>
          <w:sz w:val="22"/>
          <w:szCs w:val="22"/>
        </w:rPr>
        <w:t>“sacerdotesse” legate a culti misteriosi avvolti di un alone di peccato.</w:t>
      </w:r>
    </w:p>
    <w:p w14:paraId="3FD098D8" w14:textId="2F96C913" w:rsidR="006C5782" w:rsidRPr="00191545" w:rsidRDefault="00BF655A" w:rsidP="00BF655A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L’incontro con gli esponenti dell’India “</w:t>
      </w:r>
      <w:r w:rsidR="00C6307C">
        <w:rPr>
          <w:rFonts w:ascii="Times New Roman" w:hAnsi="Times New Roman" w:cs="Times New Roman"/>
          <w:sz w:val="22"/>
          <w:szCs w:val="22"/>
        </w:rPr>
        <w:t>sacra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  <w:r w:rsidR="002115E8">
        <w:rPr>
          <w:rFonts w:ascii="Times New Roman" w:hAnsi="Times New Roman" w:cs="Times New Roman"/>
          <w:sz w:val="22"/>
          <w:szCs w:val="22"/>
        </w:rPr>
        <w:t>risaliva</w:t>
      </w:r>
      <w:r>
        <w:rPr>
          <w:rFonts w:ascii="Times New Roman" w:hAnsi="Times New Roman" w:cs="Times New Roman"/>
          <w:sz w:val="22"/>
          <w:szCs w:val="22"/>
        </w:rPr>
        <w:t xml:space="preserve">, anch’esso, ad Alessandro. 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Nel famoso </w:t>
      </w:r>
      <w:r w:rsidR="006C5782" w:rsidRPr="00BF655A">
        <w:rPr>
          <w:rFonts w:ascii="Times New Roman" w:hAnsi="Times New Roman" w:cs="Times New Roman"/>
          <w:i/>
          <w:sz w:val="22"/>
          <w:szCs w:val="22"/>
        </w:rPr>
        <w:t xml:space="preserve">Romanzo </w:t>
      </w:r>
      <w:r>
        <w:rPr>
          <w:rFonts w:ascii="Times New Roman" w:hAnsi="Times New Roman" w:cs="Times New Roman"/>
          <w:sz w:val="22"/>
          <w:szCs w:val="22"/>
        </w:rPr>
        <w:t>dello pseudo-</w:t>
      </w:r>
      <w:proofErr w:type="spellStart"/>
      <w:r>
        <w:rPr>
          <w:rFonts w:ascii="Times New Roman" w:hAnsi="Times New Roman" w:cs="Times New Roman"/>
          <w:sz w:val="22"/>
          <w:szCs w:val="22"/>
        </w:rPr>
        <w:t>Callistene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erano stati interpolati alcuni interessanti inserti: un opuscolo cristiano attribuito allo Pseudo-Palladio (IV/V sec. d.C.), </w:t>
      </w:r>
      <w:r w:rsidR="006C5782" w:rsidRPr="00191545">
        <w:rPr>
          <w:rFonts w:ascii="Times New Roman" w:hAnsi="Times New Roman" w:cs="Times New Roman"/>
          <w:i/>
          <w:sz w:val="22"/>
          <w:szCs w:val="22"/>
        </w:rPr>
        <w:t>Le genti dell’India e i brahmani</w:t>
      </w:r>
      <w:r w:rsidR="006C5782" w:rsidRPr="00191545">
        <w:rPr>
          <w:rFonts w:ascii="Times New Roman" w:hAnsi="Times New Roman" w:cs="Times New Roman"/>
          <w:sz w:val="22"/>
          <w:szCs w:val="22"/>
        </w:rPr>
        <w:t>, che critica</w:t>
      </w:r>
      <w:r w:rsidR="001A4887">
        <w:rPr>
          <w:rFonts w:ascii="Times New Roman" w:hAnsi="Times New Roman" w:cs="Times New Roman"/>
          <w:sz w:val="22"/>
          <w:szCs w:val="22"/>
        </w:rPr>
        <w:t>va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la casta sacerdotale</w:t>
      </w:r>
      <w:r>
        <w:rPr>
          <w:rFonts w:ascii="Times New Roman" w:hAnsi="Times New Roman" w:cs="Times New Roman"/>
          <w:sz w:val="22"/>
          <w:szCs w:val="22"/>
        </w:rPr>
        <w:t>,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ma al tempo stesso descrive</w:t>
      </w:r>
      <w:r w:rsidR="001A4887">
        <w:rPr>
          <w:rFonts w:ascii="Times New Roman" w:hAnsi="Times New Roman" w:cs="Times New Roman"/>
          <w:sz w:val="22"/>
          <w:szCs w:val="22"/>
        </w:rPr>
        <w:t>va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concezioni e discipline brahmaniche; la </w:t>
      </w:r>
      <w:r w:rsidR="006C5782" w:rsidRPr="00191545">
        <w:rPr>
          <w:rFonts w:ascii="Times New Roman" w:hAnsi="Times New Roman" w:cs="Times New Roman"/>
          <w:i/>
          <w:iCs/>
          <w:sz w:val="22"/>
          <w:szCs w:val="22"/>
        </w:rPr>
        <w:t>Lettera di Alessandro ad Aristotele sulle meraviglie dell’India</w:t>
      </w:r>
      <w:r w:rsidR="00922C2F">
        <w:rPr>
          <w:rFonts w:ascii="Times New Roman" w:hAnsi="Times New Roman" w:cs="Times New Roman"/>
          <w:sz w:val="22"/>
          <w:szCs w:val="22"/>
        </w:rPr>
        <w:t>,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ove si narrava, tra le altre cose incredibili, dell’</w:t>
      </w:r>
      <w:proofErr w:type="spellStart"/>
      <w:r w:rsidR="006C5782" w:rsidRPr="00191545">
        <w:rPr>
          <w:rFonts w:ascii="Times New Roman" w:hAnsi="Times New Roman" w:cs="Times New Roman"/>
          <w:sz w:val="22"/>
          <w:szCs w:val="22"/>
        </w:rPr>
        <w:t>odontotiranno</w:t>
      </w:r>
      <w:proofErr w:type="spellEnd"/>
      <w:r w:rsidR="006C5782" w:rsidRPr="00191545">
        <w:rPr>
          <w:rFonts w:ascii="Times New Roman" w:hAnsi="Times New Roman" w:cs="Times New Roman"/>
          <w:sz w:val="22"/>
          <w:szCs w:val="22"/>
        </w:rPr>
        <w:t xml:space="preserve">, un animale mostruoso variamente descritto, comunque molto più grande di un elefante (!); una missiva attribuita ai gimnosofisti, i sapienti indiani che </w:t>
      </w:r>
      <w:r w:rsidR="00747468">
        <w:rPr>
          <w:rFonts w:ascii="Times New Roman" w:hAnsi="Times New Roman" w:cs="Times New Roman"/>
          <w:sz w:val="22"/>
          <w:szCs w:val="22"/>
        </w:rPr>
        <w:t>perseguivano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la conoscenza attraverso l’esercizio mentale e la pratica ascetica.</w:t>
      </w:r>
    </w:p>
    <w:p w14:paraId="408466A4" w14:textId="2FD3E07E" w:rsidR="006C5782" w:rsidRPr="00191545" w:rsidRDefault="00BF655A" w:rsidP="006C578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Alla ricerca di questo sapere</w:t>
      </w:r>
      <w:r w:rsidR="0062146D">
        <w:rPr>
          <w:rFonts w:ascii="Times New Roman" w:hAnsi="Times New Roman" w:cs="Times New Roman"/>
          <w:sz w:val="22"/>
          <w:szCs w:val="22"/>
        </w:rPr>
        <w:t xml:space="preserve"> si recò in India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Apollonio di </w:t>
      </w:r>
      <w:proofErr w:type="spellStart"/>
      <w:r w:rsidR="006C5782" w:rsidRPr="00191545">
        <w:rPr>
          <w:rFonts w:ascii="Times New Roman" w:hAnsi="Times New Roman" w:cs="Times New Roman"/>
          <w:sz w:val="22"/>
          <w:szCs w:val="22"/>
        </w:rPr>
        <w:t>Thiana</w:t>
      </w:r>
      <w:proofErr w:type="spellEnd"/>
      <w:r w:rsidR="006C5782" w:rsidRPr="00191545">
        <w:rPr>
          <w:rFonts w:ascii="Times New Roman" w:hAnsi="Times New Roman" w:cs="Times New Roman"/>
          <w:sz w:val="22"/>
          <w:szCs w:val="22"/>
        </w:rPr>
        <w:t xml:space="preserve">, neopitagorico del I sec. d.C. la cui vita è descritta da Flavio </w:t>
      </w:r>
      <w:proofErr w:type="spellStart"/>
      <w:r w:rsidR="006C5782" w:rsidRPr="00191545">
        <w:rPr>
          <w:rFonts w:ascii="Times New Roman" w:hAnsi="Times New Roman" w:cs="Times New Roman"/>
          <w:sz w:val="22"/>
          <w:szCs w:val="22"/>
        </w:rPr>
        <w:t>Filostrato</w:t>
      </w:r>
      <w:proofErr w:type="spellEnd"/>
      <w:r w:rsidR="006C5782" w:rsidRPr="00191545">
        <w:rPr>
          <w:rFonts w:ascii="Times New Roman" w:hAnsi="Times New Roman" w:cs="Times New Roman"/>
          <w:sz w:val="22"/>
          <w:szCs w:val="22"/>
        </w:rPr>
        <w:t xml:space="preserve"> (</w:t>
      </w:r>
      <w:r w:rsidR="005E77D8">
        <w:rPr>
          <w:rFonts w:ascii="Times New Roman" w:hAnsi="Times New Roman" w:cs="Times New Roman"/>
          <w:sz w:val="22"/>
          <w:szCs w:val="22"/>
        </w:rPr>
        <w:t>I-II sec. d.C.), e qui incontrò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brahmani, monaci buddhisti e asceti. Personaggio controverso, ritenuto </w:t>
      </w:r>
      <w:r w:rsidR="005E77D8">
        <w:rPr>
          <w:rFonts w:ascii="Times New Roman" w:hAnsi="Times New Roman" w:cs="Times New Roman"/>
          <w:sz w:val="22"/>
          <w:szCs w:val="22"/>
        </w:rPr>
        <w:t>da taluni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santo, </w:t>
      </w:r>
      <w:r w:rsidR="005E77D8">
        <w:rPr>
          <w:rFonts w:ascii="Times New Roman" w:hAnsi="Times New Roman" w:cs="Times New Roman"/>
          <w:sz w:val="22"/>
          <w:szCs w:val="22"/>
        </w:rPr>
        <w:t>da altri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negromante, era dotato di poteri particolari, molti dei quali appresi </w:t>
      </w:r>
      <w:r w:rsidR="0062146D">
        <w:rPr>
          <w:rFonts w:ascii="Times New Roman" w:hAnsi="Times New Roman" w:cs="Times New Roman"/>
          <w:sz w:val="22"/>
          <w:szCs w:val="22"/>
        </w:rPr>
        <w:t xml:space="preserve">proprio </w:t>
      </w:r>
      <w:r w:rsidR="005E77D8">
        <w:rPr>
          <w:rFonts w:ascii="Times New Roman" w:hAnsi="Times New Roman" w:cs="Times New Roman"/>
          <w:sz w:val="22"/>
          <w:szCs w:val="22"/>
        </w:rPr>
        <w:t xml:space="preserve">in </w:t>
      </w:r>
      <w:r w:rsidR="0062146D">
        <w:rPr>
          <w:rFonts w:ascii="Times New Roman" w:hAnsi="Times New Roman" w:cs="Times New Roman"/>
          <w:sz w:val="22"/>
          <w:szCs w:val="22"/>
        </w:rPr>
        <w:t>terra</w:t>
      </w:r>
      <w:r w:rsidR="005E77D8">
        <w:rPr>
          <w:rFonts w:ascii="Times New Roman" w:hAnsi="Times New Roman" w:cs="Times New Roman"/>
          <w:sz w:val="22"/>
          <w:szCs w:val="22"/>
        </w:rPr>
        <w:t xml:space="preserve"> d’India</w:t>
      </w:r>
      <w:r w:rsidR="006C5782" w:rsidRPr="00191545">
        <w:rPr>
          <w:rFonts w:ascii="Times New Roman" w:hAnsi="Times New Roman" w:cs="Times New Roman"/>
          <w:sz w:val="22"/>
          <w:szCs w:val="22"/>
        </w:rPr>
        <w:t>. Insomma, una specie di fachiro!</w:t>
      </w:r>
    </w:p>
    <w:p w14:paraId="3262890E" w14:textId="1AC32082" w:rsidR="006C5782" w:rsidRPr="00191545" w:rsidRDefault="006C5782" w:rsidP="006C578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Fachiro, in effetti, è un termine di derivazione araba e </w:t>
      </w:r>
      <w:r w:rsidR="0062146D">
        <w:rPr>
          <w:rFonts w:ascii="Times New Roman" w:hAnsi="Times New Roman" w:cs="Times New Roman"/>
          <w:sz w:val="22"/>
          <w:szCs w:val="22"/>
        </w:rPr>
        <w:t>definisce</w:t>
      </w:r>
      <w:r w:rsidRPr="00191545">
        <w:rPr>
          <w:rFonts w:ascii="Times New Roman" w:hAnsi="Times New Roman" w:cs="Times New Roman"/>
          <w:sz w:val="22"/>
          <w:szCs w:val="22"/>
        </w:rPr>
        <w:t xml:space="preserve"> asceti musulmani che </w:t>
      </w:r>
      <w:r w:rsidR="001A4887">
        <w:rPr>
          <w:rFonts w:ascii="Times New Roman" w:hAnsi="Times New Roman" w:cs="Times New Roman"/>
          <w:sz w:val="22"/>
          <w:szCs w:val="22"/>
        </w:rPr>
        <w:t>vivono</w:t>
      </w:r>
      <w:r w:rsidRPr="00191545">
        <w:rPr>
          <w:rFonts w:ascii="Times New Roman" w:hAnsi="Times New Roman" w:cs="Times New Roman"/>
          <w:sz w:val="22"/>
          <w:szCs w:val="22"/>
        </w:rPr>
        <w:t xml:space="preserve"> in povertà, ma è stato applicato a personaggi capaci di sopportare disagi fisici estremi, come il giacere su un letto di chiodi, e nell’immaginario popolare si applica a figur</w:t>
      </w:r>
      <w:r w:rsidR="00560257">
        <w:rPr>
          <w:rFonts w:ascii="Times New Roman" w:hAnsi="Times New Roman" w:cs="Times New Roman"/>
          <w:sz w:val="22"/>
          <w:szCs w:val="22"/>
        </w:rPr>
        <w:t>e inquietanti e capaci di magia,</w:t>
      </w: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560257">
        <w:rPr>
          <w:rFonts w:ascii="Times New Roman" w:hAnsi="Times New Roman" w:cs="Times New Roman"/>
          <w:sz w:val="22"/>
          <w:szCs w:val="22"/>
        </w:rPr>
        <w:t xml:space="preserve">in uno scenario ove le scarse conoscenze europee e i molti pregiudizi portavano a confondere misticismo e </w:t>
      </w:r>
      <w:r w:rsidRPr="00191545">
        <w:rPr>
          <w:rFonts w:ascii="Times New Roman" w:hAnsi="Times New Roman" w:cs="Times New Roman"/>
          <w:sz w:val="22"/>
          <w:szCs w:val="22"/>
        </w:rPr>
        <w:t>negromanzia.</w:t>
      </w:r>
    </w:p>
    <w:p w14:paraId="35E855EF" w14:textId="11034749" w:rsidR="002A5260" w:rsidRDefault="006C5782" w:rsidP="002A5260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Accanto alle reminiscenze alessandrine dei gimnosofisti, nel Medioevo circolava presso molti cosmografi la convinzione che il Paradiso fosse in India</w:t>
      </w:r>
      <w:r w:rsidR="00CE4CA4">
        <w:rPr>
          <w:rFonts w:ascii="Times New Roman" w:hAnsi="Times New Roman" w:cs="Times New Roman"/>
          <w:sz w:val="22"/>
          <w:szCs w:val="22"/>
        </w:rPr>
        <w:t xml:space="preserve">, alimentando la credenza di luoghi particolari, oasi di spiritualità e pace, che in effetti in India esistevano realmente: </w:t>
      </w:r>
      <w:r w:rsidRPr="00191545">
        <w:rPr>
          <w:rFonts w:ascii="Times New Roman" w:hAnsi="Times New Roman" w:cs="Times New Roman"/>
          <w:sz w:val="22"/>
          <w:szCs w:val="22"/>
        </w:rPr>
        <w:t xml:space="preserve">gli </w:t>
      </w:r>
      <w:proofErr w:type="spellStart"/>
      <w:r w:rsidRPr="00191545">
        <w:rPr>
          <w:rFonts w:ascii="Times New Roman" w:hAnsi="Times New Roman" w:cs="Times New Roman"/>
          <w:i/>
          <w:sz w:val="22"/>
          <w:szCs w:val="22"/>
        </w:rPr>
        <w:t>ashrama</w:t>
      </w:r>
      <w:proofErr w:type="spellEnd"/>
      <w:r w:rsidR="004F1F69">
        <w:rPr>
          <w:rFonts w:ascii="Times New Roman" w:hAnsi="Times New Roman" w:cs="Times New Roman"/>
          <w:sz w:val="22"/>
          <w:szCs w:val="22"/>
        </w:rPr>
        <w:t>, gli eremi</w:t>
      </w:r>
      <w:r w:rsidR="00B95678">
        <w:rPr>
          <w:rFonts w:ascii="Times New Roman" w:hAnsi="Times New Roman" w:cs="Times New Roman"/>
          <w:sz w:val="22"/>
          <w:szCs w:val="22"/>
        </w:rPr>
        <w:t>. In essi tutto</w:t>
      </w:r>
      <w:r w:rsidRPr="00191545">
        <w:rPr>
          <w:rFonts w:ascii="Times New Roman" w:hAnsi="Times New Roman" w:cs="Times New Roman"/>
          <w:sz w:val="22"/>
          <w:szCs w:val="22"/>
        </w:rPr>
        <w:t xml:space="preserve"> scorre</w:t>
      </w:r>
      <w:r w:rsidR="000D6FDA">
        <w:rPr>
          <w:rFonts w:ascii="Times New Roman" w:hAnsi="Times New Roman" w:cs="Times New Roman"/>
          <w:sz w:val="22"/>
          <w:szCs w:val="22"/>
        </w:rPr>
        <w:t>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secondo il ritmo profondo della natu</w:t>
      </w:r>
      <w:r w:rsidR="00B95678">
        <w:rPr>
          <w:rFonts w:ascii="Times New Roman" w:hAnsi="Times New Roman" w:cs="Times New Roman"/>
          <w:sz w:val="22"/>
          <w:szCs w:val="22"/>
        </w:rPr>
        <w:t>ra, al quale l’asceta si adegua</w:t>
      </w:r>
      <w:r w:rsidR="000D6FDA">
        <w:rPr>
          <w:rFonts w:ascii="Times New Roman" w:hAnsi="Times New Roman" w:cs="Times New Roman"/>
          <w:sz w:val="22"/>
          <w:szCs w:val="22"/>
        </w:rPr>
        <w:t>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meditando sul respiro</w:t>
      </w:r>
      <w:r w:rsidR="00B95678">
        <w:rPr>
          <w:rFonts w:ascii="Times New Roman" w:hAnsi="Times New Roman" w:cs="Times New Roman"/>
          <w:sz w:val="22"/>
          <w:szCs w:val="22"/>
        </w:rPr>
        <w:t xml:space="preserve"> ed</w:t>
      </w:r>
      <w:r w:rsidRPr="00191545">
        <w:rPr>
          <w:rFonts w:ascii="Times New Roman" w:hAnsi="Times New Roman" w:cs="Times New Roman"/>
          <w:sz w:val="22"/>
          <w:szCs w:val="22"/>
        </w:rPr>
        <w:t xml:space="preserve"> entrando in consonanza con l’intero universo. Affrancata </w:t>
      </w:r>
      <w:r w:rsidR="00632C18">
        <w:rPr>
          <w:rFonts w:ascii="Times New Roman" w:hAnsi="Times New Roman" w:cs="Times New Roman"/>
          <w:sz w:val="22"/>
          <w:szCs w:val="22"/>
        </w:rPr>
        <w:t>dal dovere</w:t>
      </w:r>
      <w:r w:rsidRPr="00191545">
        <w:rPr>
          <w:rFonts w:ascii="Times New Roman" w:hAnsi="Times New Roman" w:cs="Times New Roman"/>
          <w:sz w:val="22"/>
          <w:szCs w:val="22"/>
        </w:rPr>
        <w:t xml:space="preserve"> del dimostrare, del fare, del produrre, l’esistenza diventa</w:t>
      </w:r>
      <w:r w:rsidR="000D6FDA">
        <w:rPr>
          <w:rFonts w:ascii="Times New Roman" w:hAnsi="Times New Roman" w:cs="Times New Roman"/>
          <w:sz w:val="22"/>
          <w:szCs w:val="22"/>
        </w:rPr>
        <w:t>va puro essere. Non era</w:t>
      </w:r>
      <w:r w:rsidRPr="00191545">
        <w:rPr>
          <w:rFonts w:ascii="Times New Roman" w:hAnsi="Times New Roman" w:cs="Times New Roman"/>
          <w:sz w:val="22"/>
          <w:szCs w:val="22"/>
        </w:rPr>
        <w:t xml:space="preserve"> più necessario alcun movimento – cercare, lottare, correre –, ogni cosa decanta</w:t>
      </w:r>
      <w:r w:rsidR="000D6FDA">
        <w:rPr>
          <w:rFonts w:ascii="Times New Roman" w:hAnsi="Times New Roman" w:cs="Times New Roman"/>
          <w:sz w:val="22"/>
          <w:szCs w:val="22"/>
        </w:rPr>
        <w:t>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nella quiete. </w:t>
      </w:r>
      <w:r w:rsidR="00B95678">
        <w:rPr>
          <w:rFonts w:ascii="Times New Roman" w:hAnsi="Times New Roman" w:cs="Times New Roman"/>
          <w:sz w:val="22"/>
          <w:szCs w:val="22"/>
        </w:rPr>
        <w:t>L</w:t>
      </w:r>
      <w:r w:rsidRPr="00191545">
        <w:rPr>
          <w:rFonts w:ascii="Times New Roman" w:hAnsi="Times New Roman" w:cs="Times New Roman"/>
          <w:sz w:val="22"/>
          <w:szCs w:val="22"/>
        </w:rPr>
        <w:t xml:space="preserve">’europeo incalzato dal progresso tecnologico e dalla produttività, </w:t>
      </w:r>
      <w:r w:rsidR="00B95678">
        <w:rPr>
          <w:rFonts w:ascii="Times New Roman" w:hAnsi="Times New Roman" w:cs="Times New Roman"/>
          <w:sz w:val="22"/>
          <w:szCs w:val="22"/>
        </w:rPr>
        <w:t>nel</w:t>
      </w:r>
      <w:r w:rsidRPr="00191545">
        <w:rPr>
          <w:rFonts w:ascii="Times New Roman" w:hAnsi="Times New Roman" w:cs="Times New Roman"/>
          <w:sz w:val="22"/>
          <w:szCs w:val="22"/>
        </w:rPr>
        <w:t xml:space="preserve">l’India mistica </w:t>
      </w:r>
      <w:r w:rsidR="00B95678">
        <w:rPr>
          <w:rFonts w:ascii="Times New Roman" w:hAnsi="Times New Roman" w:cs="Times New Roman"/>
          <w:sz w:val="22"/>
          <w:szCs w:val="22"/>
        </w:rPr>
        <w:t>ritrovò il dimenticato valore dell’</w:t>
      </w:r>
      <w:proofErr w:type="spellStart"/>
      <w:r w:rsidR="00B95678" w:rsidRPr="00B95678">
        <w:rPr>
          <w:rFonts w:ascii="Times New Roman" w:hAnsi="Times New Roman" w:cs="Times New Roman"/>
          <w:i/>
          <w:sz w:val="22"/>
          <w:szCs w:val="22"/>
        </w:rPr>
        <w:t>otium</w:t>
      </w:r>
      <w:proofErr w:type="spellEnd"/>
      <w:r w:rsidR="00B95678">
        <w:rPr>
          <w:rFonts w:ascii="Times New Roman" w:hAnsi="Times New Roman" w:cs="Times New Roman"/>
          <w:sz w:val="22"/>
          <w:szCs w:val="22"/>
        </w:rPr>
        <w:t>: n</w:t>
      </w:r>
      <w:r w:rsidRPr="00191545">
        <w:rPr>
          <w:rFonts w:ascii="Times New Roman" w:hAnsi="Times New Roman" w:cs="Times New Roman"/>
          <w:sz w:val="22"/>
          <w:szCs w:val="22"/>
        </w:rPr>
        <w:t xml:space="preserve">on più l’affanno del fare, ma il lento respiro dell’essere. </w:t>
      </w:r>
    </w:p>
    <w:p w14:paraId="471B1C57" w14:textId="37DE9CF1" w:rsidR="000750AD" w:rsidRPr="000750AD" w:rsidRDefault="0031798A" w:rsidP="00BE73B5">
      <w:pPr>
        <w:spacing w:line="360" w:lineRule="auto"/>
        <w:ind w:firstLine="426"/>
        <w:contextualSpacing/>
        <w:jc w:val="both"/>
        <w:rPr>
          <w:rFonts w:ascii="Times New Roman" w:hAnsi="Times New Roman" w:cs="Times"/>
          <w:sz w:val="22"/>
          <w:szCs w:val="36"/>
        </w:rPr>
      </w:pPr>
      <w:r w:rsidRPr="000750AD">
        <w:rPr>
          <w:rFonts w:ascii="Times New Roman" w:hAnsi="Times New Roman"/>
          <w:sz w:val="22"/>
        </w:rPr>
        <w:t xml:space="preserve">Furono soprattutto </w:t>
      </w:r>
      <w:r w:rsidR="00BE73B5" w:rsidRPr="000750AD">
        <w:rPr>
          <w:rFonts w:ascii="Times New Roman" w:hAnsi="Times New Roman"/>
          <w:sz w:val="22"/>
        </w:rPr>
        <w:t>i romantici tedeschi</w:t>
      </w:r>
      <w:r w:rsidR="002A5260">
        <w:rPr>
          <w:rFonts w:ascii="Times New Roman" w:hAnsi="Times New Roman"/>
          <w:sz w:val="22"/>
        </w:rPr>
        <w:t xml:space="preserve">, affascinati dalle prime traduzioni di </w:t>
      </w:r>
      <w:r w:rsidR="00983CE3">
        <w:rPr>
          <w:rFonts w:ascii="Times New Roman" w:hAnsi="Times New Roman"/>
          <w:sz w:val="22"/>
        </w:rPr>
        <w:t>testi sanscriti</w:t>
      </w:r>
      <w:r w:rsidR="002A5260">
        <w:rPr>
          <w:rFonts w:ascii="Times New Roman" w:hAnsi="Times New Roman"/>
          <w:sz w:val="22"/>
        </w:rPr>
        <w:t xml:space="preserve"> </w:t>
      </w:r>
      <w:r w:rsidR="00983CE3">
        <w:rPr>
          <w:rFonts w:ascii="Times New Roman" w:hAnsi="Times New Roman"/>
          <w:sz w:val="22"/>
        </w:rPr>
        <w:t>–</w:t>
      </w:r>
      <w:r w:rsidR="00BC5CB2">
        <w:rPr>
          <w:rFonts w:ascii="Times New Roman" w:hAnsi="Times New Roman"/>
          <w:sz w:val="22"/>
        </w:rPr>
        <w:t xml:space="preserve"> </w:t>
      </w:r>
      <w:r w:rsidR="00BC5CB2">
        <w:rPr>
          <w:rFonts w:ascii="Times New Roman" w:hAnsi="Times New Roman" w:cs="Times"/>
          <w:sz w:val="22"/>
          <w:szCs w:val="36"/>
        </w:rPr>
        <w:t xml:space="preserve">nel 1789 </w:t>
      </w:r>
      <w:proofErr w:type="spellStart"/>
      <w:r w:rsidR="00983CE3" w:rsidRPr="00983CE3">
        <w:rPr>
          <w:rFonts w:ascii="Times New Roman" w:hAnsi="Times New Roman"/>
          <w:i/>
          <w:sz w:val="22"/>
        </w:rPr>
        <w:t>Shakuntala</w:t>
      </w:r>
      <w:proofErr w:type="spellEnd"/>
      <w:r w:rsidR="00983CE3">
        <w:rPr>
          <w:rFonts w:ascii="Times New Roman" w:hAnsi="Times New Roman"/>
          <w:sz w:val="22"/>
        </w:rPr>
        <w:t xml:space="preserve">, </w:t>
      </w:r>
      <w:r w:rsidR="00D74C2E" w:rsidRPr="006D0975">
        <w:rPr>
          <w:rFonts w:ascii="Times New Roman" w:hAnsi="Times New Roman"/>
          <w:sz w:val="22"/>
        </w:rPr>
        <w:t xml:space="preserve">opera teatrale di </w:t>
      </w:r>
      <w:proofErr w:type="spellStart"/>
      <w:r w:rsidR="00D74C2E" w:rsidRPr="006D0975">
        <w:rPr>
          <w:rFonts w:ascii="Times New Roman" w:hAnsi="Times New Roman"/>
          <w:sz w:val="22"/>
        </w:rPr>
        <w:t>Kalida</w:t>
      </w:r>
      <w:r w:rsidR="002A5260" w:rsidRPr="006D0975">
        <w:rPr>
          <w:rFonts w:ascii="Times New Roman" w:hAnsi="Times New Roman"/>
          <w:sz w:val="22"/>
        </w:rPr>
        <w:t>sa</w:t>
      </w:r>
      <w:proofErr w:type="spellEnd"/>
      <w:r w:rsidR="002A5260" w:rsidRPr="006D0975">
        <w:rPr>
          <w:rFonts w:ascii="Times New Roman" w:hAnsi="Times New Roman"/>
          <w:sz w:val="22"/>
        </w:rPr>
        <w:t xml:space="preserve"> (IV sec. </w:t>
      </w:r>
      <w:proofErr w:type="spellStart"/>
      <w:r w:rsidR="002A5260" w:rsidRPr="006D0975">
        <w:rPr>
          <w:rFonts w:ascii="Times New Roman" w:hAnsi="Times New Roman"/>
          <w:sz w:val="22"/>
        </w:rPr>
        <w:t>d.C</w:t>
      </w:r>
      <w:proofErr w:type="spellEnd"/>
      <w:r w:rsidR="002A5260" w:rsidRPr="006D0975">
        <w:rPr>
          <w:rFonts w:ascii="Times New Roman" w:hAnsi="Times New Roman"/>
          <w:sz w:val="22"/>
        </w:rPr>
        <w:t xml:space="preserve">), tradotta </w:t>
      </w:r>
      <w:r w:rsidR="00983CE3">
        <w:rPr>
          <w:rFonts w:ascii="Times New Roman" w:hAnsi="Times New Roman"/>
          <w:sz w:val="22"/>
        </w:rPr>
        <w:t xml:space="preserve">come </w:t>
      </w:r>
      <w:proofErr w:type="spellStart"/>
      <w:r w:rsidR="00983CE3">
        <w:rPr>
          <w:rFonts w:ascii="Times New Roman" w:hAnsi="Times New Roman"/>
          <w:i/>
          <w:sz w:val="22"/>
        </w:rPr>
        <w:t>Sakontala</w:t>
      </w:r>
      <w:proofErr w:type="spellEnd"/>
      <w:r w:rsidR="00983CE3">
        <w:rPr>
          <w:rFonts w:ascii="Times New Roman" w:hAnsi="Times New Roman"/>
          <w:i/>
          <w:sz w:val="22"/>
        </w:rPr>
        <w:t>, l’anello fatale</w:t>
      </w:r>
      <w:r w:rsidR="00983CE3">
        <w:rPr>
          <w:rFonts w:ascii="Times New Roman" w:hAnsi="Times New Roman"/>
          <w:sz w:val="22"/>
        </w:rPr>
        <w:t xml:space="preserve"> </w:t>
      </w:r>
      <w:r w:rsidR="002A5260" w:rsidRPr="006D0975">
        <w:rPr>
          <w:rFonts w:ascii="Times New Roman" w:hAnsi="Times New Roman"/>
          <w:sz w:val="22"/>
        </w:rPr>
        <w:t xml:space="preserve">da </w:t>
      </w:r>
      <w:r w:rsidR="002A5260" w:rsidRPr="006D0975">
        <w:rPr>
          <w:rFonts w:ascii="Times New Roman" w:hAnsi="Times New Roman" w:cs="Times"/>
          <w:sz w:val="22"/>
          <w:szCs w:val="36"/>
        </w:rPr>
        <w:t xml:space="preserve">William </w:t>
      </w:r>
      <w:proofErr w:type="gramStart"/>
      <w:r w:rsidR="002A5260" w:rsidRPr="006D0975">
        <w:rPr>
          <w:rFonts w:ascii="Times New Roman" w:hAnsi="Times New Roman" w:cs="Times"/>
          <w:sz w:val="22"/>
          <w:szCs w:val="36"/>
        </w:rPr>
        <w:t xml:space="preserve">Jones, </w:t>
      </w:r>
      <w:r w:rsidR="002A5260" w:rsidRPr="006D0975">
        <w:rPr>
          <w:rFonts w:ascii="Times New Roman" w:hAnsi="Times New Roman"/>
          <w:sz w:val="22"/>
        </w:rPr>
        <w:t xml:space="preserve"> giudice</w:t>
      </w:r>
      <w:proofErr w:type="gramEnd"/>
      <w:r w:rsidR="002A5260" w:rsidRPr="006D0975">
        <w:rPr>
          <w:rFonts w:ascii="Times New Roman" w:hAnsi="Times New Roman"/>
          <w:sz w:val="22"/>
        </w:rPr>
        <w:t xml:space="preserve"> inglese in India, </w:t>
      </w:r>
      <w:r w:rsidR="002A5260" w:rsidRPr="006D0975">
        <w:rPr>
          <w:rFonts w:ascii="Times New Roman" w:hAnsi="Times New Roman" w:cs="Times"/>
          <w:sz w:val="22"/>
          <w:szCs w:val="36"/>
        </w:rPr>
        <w:t xml:space="preserve">fondatore della Società Asiatica del Bengala nel 1784 </w:t>
      </w:r>
      <w:r w:rsidR="00D74C2E" w:rsidRPr="006D0975">
        <w:rPr>
          <w:rFonts w:ascii="Times New Roman" w:hAnsi="Times New Roman" w:cs="Times"/>
          <w:sz w:val="22"/>
          <w:szCs w:val="36"/>
        </w:rPr>
        <w:t xml:space="preserve">e le </w:t>
      </w:r>
      <w:proofErr w:type="spellStart"/>
      <w:r w:rsidR="00D74C2E" w:rsidRPr="006D0975">
        <w:rPr>
          <w:rFonts w:ascii="Times New Roman" w:hAnsi="Times New Roman" w:cs="Times"/>
          <w:i/>
          <w:sz w:val="22"/>
          <w:szCs w:val="36"/>
        </w:rPr>
        <w:t>Upanishad</w:t>
      </w:r>
      <w:proofErr w:type="spellEnd"/>
      <w:r w:rsidR="00D74C2E" w:rsidRPr="006D0975">
        <w:rPr>
          <w:rFonts w:ascii="Times New Roman" w:hAnsi="Times New Roman" w:cs="Times"/>
          <w:sz w:val="22"/>
          <w:szCs w:val="36"/>
        </w:rPr>
        <w:t xml:space="preserve"> </w:t>
      </w:r>
      <w:r w:rsidR="00983CE3">
        <w:rPr>
          <w:rFonts w:ascii="Times New Roman" w:hAnsi="Times New Roman" w:cs="Times"/>
          <w:sz w:val="22"/>
          <w:szCs w:val="36"/>
        </w:rPr>
        <w:t>riversate in latino</w:t>
      </w:r>
      <w:r w:rsidR="00D74C2E" w:rsidRPr="006D0975">
        <w:rPr>
          <w:rFonts w:ascii="Times New Roman" w:hAnsi="Times New Roman" w:cs="Times"/>
          <w:sz w:val="22"/>
          <w:szCs w:val="36"/>
        </w:rPr>
        <w:t xml:space="preserve"> da Abraham Anquetil </w:t>
      </w:r>
      <w:proofErr w:type="spellStart"/>
      <w:r w:rsidR="00D74C2E" w:rsidRPr="006D0975">
        <w:rPr>
          <w:rFonts w:ascii="Times New Roman" w:hAnsi="Times New Roman" w:cs="Times"/>
          <w:sz w:val="22"/>
          <w:szCs w:val="36"/>
        </w:rPr>
        <w:t>Du</w:t>
      </w:r>
      <w:proofErr w:type="spellEnd"/>
      <w:r w:rsidR="00D74C2E" w:rsidRPr="006D0975">
        <w:rPr>
          <w:rFonts w:ascii="Times New Roman" w:hAnsi="Times New Roman" w:cs="Times"/>
          <w:sz w:val="22"/>
          <w:szCs w:val="36"/>
        </w:rPr>
        <w:t xml:space="preserve"> </w:t>
      </w:r>
      <w:proofErr w:type="spellStart"/>
      <w:r w:rsidR="00D74C2E" w:rsidRPr="006D0975">
        <w:rPr>
          <w:rFonts w:ascii="Times New Roman" w:hAnsi="Times New Roman" w:cs="Times"/>
          <w:sz w:val="22"/>
          <w:szCs w:val="36"/>
        </w:rPr>
        <w:t>Perron</w:t>
      </w:r>
      <w:proofErr w:type="spellEnd"/>
      <w:r w:rsidR="00D74C2E" w:rsidRPr="006D0975">
        <w:rPr>
          <w:rFonts w:ascii="Times New Roman" w:hAnsi="Times New Roman" w:cs="Times"/>
          <w:sz w:val="22"/>
          <w:szCs w:val="36"/>
        </w:rPr>
        <w:t xml:space="preserve"> </w:t>
      </w:r>
      <w:r w:rsidR="00983CE3">
        <w:rPr>
          <w:rFonts w:ascii="Times New Roman" w:hAnsi="Times New Roman" w:cs="Times"/>
          <w:sz w:val="22"/>
          <w:szCs w:val="36"/>
        </w:rPr>
        <w:t xml:space="preserve">nel 1804 </w:t>
      </w:r>
      <w:r w:rsidR="002A5260" w:rsidRPr="006D0975">
        <w:rPr>
          <w:rFonts w:ascii="Times New Roman" w:hAnsi="Times New Roman" w:cs="Times"/>
          <w:sz w:val="22"/>
          <w:szCs w:val="36"/>
        </w:rPr>
        <w:t xml:space="preserve">- </w:t>
      </w:r>
      <w:r w:rsidR="00BE73B5" w:rsidRPr="006D0975">
        <w:rPr>
          <w:rFonts w:ascii="Times New Roman" w:hAnsi="Times New Roman"/>
          <w:sz w:val="22"/>
        </w:rPr>
        <w:t xml:space="preserve"> </w:t>
      </w:r>
      <w:r w:rsidRPr="006D0975">
        <w:rPr>
          <w:rFonts w:ascii="Times New Roman" w:hAnsi="Times New Roman" w:cs="Times"/>
          <w:sz w:val="22"/>
          <w:szCs w:val="36"/>
        </w:rPr>
        <w:t>che videro</w:t>
      </w:r>
      <w:r w:rsidR="00BE73B5" w:rsidRPr="006D0975">
        <w:rPr>
          <w:rFonts w:ascii="Times New Roman" w:hAnsi="Times New Roman" w:cs="Times"/>
          <w:sz w:val="22"/>
          <w:szCs w:val="36"/>
        </w:rPr>
        <w:t xml:space="preserve"> in India la fonte dell’innocenza e della purezza: per Friedrich </w:t>
      </w:r>
      <w:proofErr w:type="spellStart"/>
      <w:r w:rsidRPr="006D0975">
        <w:rPr>
          <w:rFonts w:ascii="Times New Roman" w:hAnsi="Times New Roman" w:cs="Times"/>
          <w:sz w:val="22"/>
          <w:szCs w:val="36"/>
        </w:rPr>
        <w:t>Schlegel</w:t>
      </w:r>
      <w:proofErr w:type="spellEnd"/>
      <w:r w:rsidRPr="006D0975">
        <w:rPr>
          <w:rFonts w:ascii="Times New Roman" w:hAnsi="Times New Roman" w:cs="Times"/>
          <w:sz w:val="22"/>
          <w:szCs w:val="36"/>
        </w:rPr>
        <w:t xml:space="preserve"> </w:t>
      </w:r>
      <w:r w:rsidR="00BE73B5" w:rsidRPr="006D0975">
        <w:rPr>
          <w:rFonts w:ascii="Times New Roman" w:hAnsi="Times New Roman" w:cs="Times"/>
          <w:sz w:val="22"/>
          <w:szCs w:val="36"/>
        </w:rPr>
        <w:t>(1772-1829)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</w:t>
      </w:r>
      <w:r w:rsidRPr="000750AD">
        <w:rPr>
          <w:rFonts w:ascii="Times New Roman" w:hAnsi="Times New Roman" w:cs="Times"/>
          <w:sz w:val="22"/>
          <w:szCs w:val="36"/>
        </w:rPr>
        <w:t>era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la sorgente primaria di tutte le idee</w:t>
      </w:r>
      <w:r w:rsidRPr="000750AD">
        <w:rPr>
          <w:rFonts w:ascii="Times New Roman" w:hAnsi="Times New Roman" w:cs="Times"/>
          <w:sz w:val="22"/>
          <w:szCs w:val="36"/>
        </w:rPr>
        <w:t>;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per </w:t>
      </w:r>
      <w:r w:rsidRPr="000750AD">
        <w:rPr>
          <w:rFonts w:ascii="Times New Roman" w:hAnsi="Times New Roman" w:cs="Times"/>
          <w:sz w:val="22"/>
          <w:szCs w:val="36"/>
        </w:rPr>
        <w:t xml:space="preserve">J. </w:t>
      </w:r>
      <w:proofErr w:type="spellStart"/>
      <w:r w:rsidRPr="000750AD">
        <w:rPr>
          <w:rFonts w:ascii="Times New Roman" w:hAnsi="Times New Roman" w:cs="Times"/>
          <w:sz w:val="22"/>
          <w:szCs w:val="36"/>
        </w:rPr>
        <w:t>Gottfried</w:t>
      </w:r>
      <w:proofErr w:type="spellEnd"/>
      <w:r w:rsidRPr="000750AD">
        <w:rPr>
          <w:rFonts w:ascii="Times New Roman" w:hAnsi="Times New Roman" w:cs="Times"/>
          <w:sz w:val="22"/>
          <w:szCs w:val="36"/>
        </w:rPr>
        <w:t xml:space="preserve"> </w:t>
      </w:r>
      <w:proofErr w:type="spellStart"/>
      <w:r w:rsidR="00BE73B5" w:rsidRPr="000750AD">
        <w:rPr>
          <w:rFonts w:ascii="Times New Roman" w:hAnsi="Times New Roman" w:cs="Times"/>
          <w:sz w:val="22"/>
          <w:szCs w:val="36"/>
        </w:rPr>
        <w:t>Herder</w:t>
      </w:r>
      <w:proofErr w:type="spellEnd"/>
      <w:r w:rsidR="00BE73B5" w:rsidRPr="000750AD">
        <w:rPr>
          <w:rFonts w:ascii="Times New Roman" w:hAnsi="Times New Roman" w:cs="Times"/>
          <w:sz w:val="22"/>
          <w:szCs w:val="36"/>
        </w:rPr>
        <w:t xml:space="preserve"> (1774-1803</w:t>
      </w:r>
      <w:r w:rsidRPr="000750AD">
        <w:rPr>
          <w:rFonts w:ascii="Times New Roman" w:hAnsi="Times New Roman" w:cs="Times"/>
          <w:sz w:val="22"/>
          <w:szCs w:val="36"/>
        </w:rPr>
        <w:t>)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l’Oriente </w:t>
      </w:r>
      <w:r w:rsidRPr="000750AD">
        <w:rPr>
          <w:rFonts w:ascii="Times New Roman" w:hAnsi="Times New Roman" w:cs="Times"/>
          <w:sz w:val="22"/>
          <w:szCs w:val="36"/>
        </w:rPr>
        <w:t>era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l’infanzia del mondo</w:t>
      </w:r>
      <w:r w:rsidRPr="000750AD">
        <w:rPr>
          <w:rFonts w:ascii="Times New Roman" w:hAnsi="Times New Roman" w:cs="Times"/>
          <w:sz w:val="22"/>
          <w:szCs w:val="36"/>
        </w:rPr>
        <w:t xml:space="preserve"> e gli I</w:t>
      </w:r>
      <w:r w:rsidR="00BE73B5" w:rsidRPr="000750AD">
        <w:rPr>
          <w:rFonts w:ascii="Times New Roman" w:hAnsi="Times New Roman" w:cs="Times"/>
          <w:sz w:val="22"/>
          <w:szCs w:val="36"/>
        </w:rPr>
        <w:t>ndiani il ramo più gentile dell’umanità. Il più accanito sostenitore di</w:t>
      </w:r>
      <w:r w:rsidRPr="000750AD">
        <w:rPr>
          <w:rFonts w:ascii="Times New Roman" w:hAnsi="Times New Roman" w:cs="Times"/>
          <w:sz w:val="22"/>
          <w:szCs w:val="36"/>
        </w:rPr>
        <w:t xml:space="preserve"> un’India mistica e spirituale fu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 </w:t>
      </w:r>
      <w:r w:rsidR="00132078" w:rsidRPr="000750AD">
        <w:rPr>
          <w:rFonts w:ascii="Times New Roman" w:hAnsi="Times New Roman" w:cs="Times"/>
          <w:sz w:val="22"/>
          <w:szCs w:val="36"/>
        </w:rPr>
        <w:t xml:space="preserve">Arthur 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Schopenhauer </w:t>
      </w:r>
      <w:r w:rsidRPr="000750AD">
        <w:rPr>
          <w:rFonts w:ascii="Times New Roman" w:hAnsi="Times New Roman" w:cs="Times"/>
          <w:sz w:val="22"/>
          <w:szCs w:val="36"/>
        </w:rPr>
        <w:t>(</w:t>
      </w:r>
      <w:r w:rsidR="00BE73B5" w:rsidRPr="000750AD">
        <w:rPr>
          <w:rFonts w:ascii="Times New Roman" w:hAnsi="Times New Roman" w:cs="Times"/>
          <w:sz w:val="22"/>
          <w:szCs w:val="36"/>
        </w:rPr>
        <w:t>1788-1860</w:t>
      </w:r>
      <w:r w:rsidRPr="000750AD">
        <w:rPr>
          <w:rFonts w:ascii="Times New Roman" w:hAnsi="Times New Roman" w:cs="Times"/>
          <w:sz w:val="22"/>
          <w:szCs w:val="36"/>
        </w:rPr>
        <w:t>)</w:t>
      </w:r>
      <w:r w:rsidR="00BE73B5" w:rsidRPr="000750AD">
        <w:rPr>
          <w:rFonts w:ascii="Times New Roman" w:hAnsi="Times New Roman" w:cs="Times"/>
          <w:sz w:val="22"/>
          <w:szCs w:val="36"/>
        </w:rPr>
        <w:t xml:space="preserve">, </w:t>
      </w:r>
      <w:r w:rsidR="00132078" w:rsidRPr="000750AD">
        <w:rPr>
          <w:rFonts w:ascii="Times New Roman" w:hAnsi="Times New Roman" w:cs="Times"/>
          <w:sz w:val="22"/>
          <w:szCs w:val="36"/>
        </w:rPr>
        <w:t xml:space="preserve">che trovò </w:t>
      </w:r>
      <w:r w:rsidR="000750AD" w:rsidRPr="000750AD">
        <w:rPr>
          <w:rFonts w:ascii="Times New Roman" w:hAnsi="Times New Roman" w:cs="Times"/>
          <w:sz w:val="22"/>
          <w:szCs w:val="36"/>
        </w:rPr>
        <w:t xml:space="preserve">nella cultura indiana una forte consonanza con la </w:t>
      </w:r>
      <w:r w:rsidR="00632C18">
        <w:rPr>
          <w:rFonts w:ascii="Times New Roman" w:hAnsi="Times New Roman" w:cs="Times"/>
          <w:sz w:val="22"/>
          <w:szCs w:val="36"/>
        </w:rPr>
        <w:t>propria</w:t>
      </w:r>
      <w:r w:rsidR="000750AD" w:rsidRPr="000750AD">
        <w:rPr>
          <w:rFonts w:ascii="Times New Roman" w:hAnsi="Times New Roman" w:cs="Times"/>
          <w:sz w:val="22"/>
          <w:szCs w:val="36"/>
        </w:rPr>
        <w:t xml:space="preserve"> visione pessimistica del mondo, </w:t>
      </w:r>
      <w:r w:rsidR="000750AD" w:rsidRPr="000750AD">
        <w:rPr>
          <w:rFonts w:ascii="Times New Roman" w:hAnsi="Times New Roman" w:cs="Times"/>
          <w:sz w:val="22"/>
          <w:szCs w:val="36"/>
        </w:rPr>
        <w:lastRenderedPageBreak/>
        <w:t>alla quale l’unica risposta era il progressivo distacco e la soppressione del desiderio, via ascetica ampiamente sostenuta in India.</w:t>
      </w:r>
    </w:p>
    <w:p w14:paraId="07D36767" w14:textId="7792015F" w:rsidR="000D6FDA" w:rsidRDefault="00B95678" w:rsidP="006A16F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Alla fine dell’Ottocento </w:t>
      </w:r>
      <w:r w:rsidR="001F5435">
        <w:rPr>
          <w:rFonts w:ascii="Times New Roman" w:hAnsi="Times New Roman" w:cs="Times New Roman"/>
          <w:sz w:val="22"/>
          <w:szCs w:val="22"/>
        </w:rPr>
        <w:t xml:space="preserve">del misticismo indiano </w:t>
      </w:r>
      <w:r>
        <w:rPr>
          <w:rFonts w:ascii="Times New Roman" w:hAnsi="Times New Roman" w:cs="Times New Roman"/>
          <w:sz w:val="22"/>
          <w:szCs w:val="22"/>
        </w:rPr>
        <w:t>s’</w:t>
      </w:r>
      <w:r w:rsidR="006C5782" w:rsidRPr="00191545">
        <w:rPr>
          <w:rFonts w:ascii="Times New Roman" w:hAnsi="Times New Roman" w:cs="Times New Roman"/>
          <w:sz w:val="22"/>
          <w:szCs w:val="22"/>
        </w:rPr>
        <w:t>impo</w:t>
      </w:r>
      <w:r>
        <w:rPr>
          <w:rFonts w:ascii="Times New Roman" w:hAnsi="Times New Roman" w:cs="Times New Roman"/>
          <w:sz w:val="22"/>
          <w:szCs w:val="22"/>
        </w:rPr>
        <w:t>sero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F5435">
        <w:rPr>
          <w:rFonts w:ascii="Times New Roman" w:hAnsi="Times New Roman" w:cs="Times New Roman"/>
          <w:sz w:val="22"/>
          <w:szCs w:val="22"/>
        </w:rPr>
        <w:t xml:space="preserve">soprattutto </w:t>
      </w:r>
      <w:r w:rsidR="006C5782" w:rsidRPr="00191545">
        <w:rPr>
          <w:rFonts w:ascii="Times New Roman" w:hAnsi="Times New Roman" w:cs="Times New Roman"/>
          <w:sz w:val="22"/>
          <w:szCs w:val="22"/>
        </w:rPr>
        <w:t>l</w:t>
      </w:r>
      <w:r w:rsidR="001F5435">
        <w:rPr>
          <w:rFonts w:ascii="Times New Roman" w:hAnsi="Times New Roman" w:cs="Times New Roman"/>
          <w:sz w:val="22"/>
          <w:szCs w:val="22"/>
        </w:rPr>
        <w:t xml:space="preserve">e letture esoteriche, proposte dal controverso personaggio di </w:t>
      </w:r>
      <w:r w:rsidR="00170EA8">
        <w:rPr>
          <w:rFonts w:ascii="Times New Roman" w:hAnsi="Times New Roman" w:cs="Times New Roman"/>
          <w:sz w:val="22"/>
          <w:szCs w:val="22"/>
        </w:rPr>
        <w:t xml:space="preserve">Elena </w:t>
      </w:r>
      <w:proofErr w:type="spellStart"/>
      <w:r w:rsidR="00170EA8">
        <w:rPr>
          <w:rFonts w:ascii="Times New Roman" w:hAnsi="Times New Roman" w:cs="Times New Roman"/>
          <w:sz w:val="22"/>
          <w:szCs w:val="22"/>
        </w:rPr>
        <w:t>Blavatsky</w:t>
      </w:r>
      <w:proofErr w:type="spellEnd"/>
      <w:r w:rsidR="006C5782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1F5435">
        <w:rPr>
          <w:rFonts w:ascii="Times New Roman" w:hAnsi="Times New Roman" w:cs="Times New Roman"/>
          <w:sz w:val="22"/>
          <w:szCs w:val="22"/>
        </w:rPr>
        <w:t>(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1831 </w:t>
      </w:r>
      <w:r w:rsidR="001F5435">
        <w:rPr>
          <w:rFonts w:ascii="Times New Roman" w:hAnsi="Times New Roman" w:cs="Times New Roman"/>
          <w:sz w:val="22"/>
          <w:szCs w:val="22"/>
        </w:rPr>
        <w:t>–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1891</w:t>
      </w:r>
      <w:r w:rsidR="001F5435">
        <w:rPr>
          <w:rFonts w:ascii="Times New Roman" w:hAnsi="Times New Roman" w:cs="Times New Roman"/>
          <w:sz w:val="22"/>
          <w:szCs w:val="22"/>
        </w:rPr>
        <w:t>)</w:t>
      </w:r>
      <w:r w:rsidR="00170EA8">
        <w:rPr>
          <w:rFonts w:ascii="Times New Roman" w:hAnsi="Times New Roman" w:cs="Times New Roman"/>
          <w:sz w:val="22"/>
          <w:szCs w:val="22"/>
        </w:rPr>
        <w:t xml:space="preserve">, cultrice </w:t>
      </w:r>
      <w:r w:rsidR="003C4855">
        <w:rPr>
          <w:rFonts w:ascii="Times New Roman" w:hAnsi="Times New Roman" w:cs="Times New Roman"/>
          <w:sz w:val="22"/>
          <w:szCs w:val="22"/>
        </w:rPr>
        <w:t>del paranormale</w:t>
      </w:r>
      <w:r w:rsidR="001E198D">
        <w:rPr>
          <w:rFonts w:ascii="Times New Roman" w:hAnsi="Times New Roman" w:cs="Times New Roman"/>
          <w:sz w:val="22"/>
          <w:szCs w:val="22"/>
        </w:rPr>
        <w:t xml:space="preserve">, </w:t>
      </w:r>
      <w:r w:rsidR="00170EA8">
        <w:rPr>
          <w:rFonts w:ascii="Times New Roman" w:hAnsi="Times New Roman" w:cs="Times New Roman"/>
          <w:sz w:val="22"/>
          <w:szCs w:val="22"/>
        </w:rPr>
        <w:t>fondatrice</w:t>
      </w:r>
      <w:r w:rsidR="006C5782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020113">
        <w:rPr>
          <w:rFonts w:ascii="Times New Roman" w:hAnsi="Times New Roman" w:cs="Times New Roman"/>
          <w:sz w:val="22"/>
          <w:szCs w:val="22"/>
        </w:rPr>
        <w:t>nel 18</w:t>
      </w:r>
      <w:r w:rsidR="00170EA8">
        <w:rPr>
          <w:rFonts w:ascii="Times New Roman" w:hAnsi="Times New Roman" w:cs="Times New Roman"/>
          <w:sz w:val="22"/>
          <w:szCs w:val="22"/>
        </w:rPr>
        <w:t>75 della Società T</w:t>
      </w:r>
      <w:r w:rsidR="006C5782" w:rsidRPr="00191545">
        <w:rPr>
          <w:rFonts w:ascii="Times New Roman" w:hAnsi="Times New Roman" w:cs="Times New Roman"/>
          <w:sz w:val="22"/>
          <w:szCs w:val="22"/>
        </w:rPr>
        <w:t>eosofica</w:t>
      </w:r>
      <w:r w:rsidR="00252823">
        <w:rPr>
          <w:rFonts w:ascii="Times New Roman" w:hAnsi="Times New Roman" w:cs="Times New Roman"/>
          <w:sz w:val="22"/>
          <w:szCs w:val="22"/>
        </w:rPr>
        <w:t xml:space="preserve">. Fortemente eclettica, la Società affermava esservi </w:t>
      </w:r>
      <w:r w:rsidR="00C56325">
        <w:rPr>
          <w:rFonts w:ascii="Times New Roman" w:hAnsi="Times New Roman" w:cs="Times New Roman"/>
          <w:sz w:val="22"/>
          <w:szCs w:val="22"/>
        </w:rPr>
        <w:t>una</w:t>
      </w:r>
      <w:r w:rsidR="00170EA8">
        <w:rPr>
          <w:rFonts w:ascii="Times New Roman" w:hAnsi="Times New Roman" w:cs="Times New Roman"/>
          <w:sz w:val="22"/>
          <w:szCs w:val="22"/>
        </w:rPr>
        <w:t xml:space="preserve"> matrice comune di tutte le religioni e </w:t>
      </w:r>
      <w:r w:rsidR="00252823">
        <w:rPr>
          <w:rFonts w:ascii="Times New Roman" w:hAnsi="Times New Roman" w:cs="Times New Roman"/>
          <w:sz w:val="22"/>
          <w:szCs w:val="22"/>
        </w:rPr>
        <w:t>riteneva che il sapere esoterico venisse impartito a pochi iniziati</w:t>
      </w:r>
      <w:r w:rsidR="00170EA8">
        <w:rPr>
          <w:rFonts w:ascii="Times New Roman" w:hAnsi="Times New Roman" w:cs="Times New Roman"/>
          <w:sz w:val="22"/>
          <w:szCs w:val="22"/>
        </w:rPr>
        <w:t xml:space="preserve"> </w:t>
      </w:r>
      <w:r w:rsidR="00252823">
        <w:rPr>
          <w:rFonts w:ascii="Times New Roman" w:hAnsi="Times New Roman" w:cs="Times New Roman"/>
          <w:sz w:val="22"/>
          <w:szCs w:val="22"/>
        </w:rPr>
        <w:t>da</w:t>
      </w:r>
      <w:r w:rsidR="00170EA8">
        <w:rPr>
          <w:rFonts w:ascii="Times New Roman" w:hAnsi="Times New Roman" w:cs="Times New Roman"/>
          <w:sz w:val="22"/>
          <w:szCs w:val="22"/>
        </w:rPr>
        <w:t xml:space="preserve"> </w:t>
      </w:r>
      <w:r w:rsidR="004D60D2">
        <w:rPr>
          <w:rFonts w:ascii="Times New Roman" w:hAnsi="Times New Roman" w:cs="Times New Roman"/>
          <w:sz w:val="22"/>
          <w:szCs w:val="22"/>
        </w:rPr>
        <w:t>Maestri spirituali</w:t>
      </w:r>
      <w:r w:rsidR="00252823">
        <w:rPr>
          <w:rFonts w:ascii="Times New Roman" w:hAnsi="Times New Roman" w:cs="Times New Roman"/>
          <w:sz w:val="22"/>
          <w:szCs w:val="22"/>
        </w:rPr>
        <w:t xml:space="preserve"> risiedenti in </w:t>
      </w:r>
      <w:r w:rsidR="00423216">
        <w:rPr>
          <w:rFonts w:ascii="Times New Roman" w:hAnsi="Times New Roman" w:cs="Times New Roman"/>
          <w:sz w:val="22"/>
          <w:szCs w:val="22"/>
        </w:rPr>
        <w:t>aree recondite</w:t>
      </w:r>
      <w:r w:rsidR="006D2AC1">
        <w:rPr>
          <w:rFonts w:ascii="Times New Roman" w:hAnsi="Times New Roman" w:cs="Times New Roman"/>
          <w:sz w:val="22"/>
          <w:szCs w:val="22"/>
        </w:rPr>
        <w:t>. A</w:t>
      </w:r>
      <w:r w:rsidR="00252823">
        <w:rPr>
          <w:rFonts w:ascii="Times New Roman" w:hAnsi="Times New Roman" w:cs="Times New Roman"/>
          <w:sz w:val="22"/>
          <w:szCs w:val="22"/>
        </w:rPr>
        <w:t xml:space="preserve"> uno di questi </w:t>
      </w:r>
      <w:r w:rsidR="00423216">
        <w:rPr>
          <w:rFonts w:ascii="Times New Roman" w:hAnsi="Times New Roman" w:cs="Times New Roman"/>
          <w:sz w:val="22"/>
          <w:szCs w:val="22"/>
        </w:rPr>
        <w:t xml:space="preserve">luoghi </w:t>
      </w:r>
      <w:r w:rsidR="00252823">
        <w:rPr>
          <w:rFonts w:ascii="Times New Roman" w:hAnsi="Times New Roman" w:cs="Times New Roman"/>
          <w:sz w:val="22"/>
          <w:szCs w:val="22"/>
        </w:rPr>
        <w:t xml:space="preserve">avrebbe avuto accesso la </w:t>
      </w:r>
      <w:proofErr w:type="spellStart"/>
      <w:r w:rsidR="00252823">
        <w:rPr>
          <w:rFonts w:ascii="Times New Roman" w:hAnsi="Times New Roman" w:cs="Times New Roman"/>
          <w:sz w:val="22"/>
          <w:szCs w:val="22"/>
        </w:rPr>
        <w:t>Blavatsky</w:t>
      </w:r>
      <w:proofErr w:type="spellEnd"/>
      <w:r w:rsidR="004D60D2">
        <w:rPr>
          <w:rFonts w:ascii="Times New Roman" w:hAnsi="Times New Roman" w:cs="Times New Roman"/>
          <w:sz w:val="22"/>
          <w:szCs w:val="22"/>
        </w:rPr>
        <w:t xml:space="preserve">, </w:t>
      </w:r>
      <w:r w:rsidR="00252823">
        <w:rPr>
          <w:rFonts w:ascii="Times New Roman" w:hAnsi="Times New Roman" w:cs="Times New Roman"/>
          <w:sz w:val="22"/>
          <w:szCs w:val="22"/>
        </w:rPr>
        <w:t xml:space="preserve">che </w:t>
      </w:r>
      <w:r w:rsidR="006D2AC1">
        <w:rPr>
          <w:rFonts w:ascii="Times New Roman" w:hAnsi="Times New Roman" w:cs="Times New Roman"/>
          <w:sz w:val="22"/>
          <w:szCs w:val="22"/>
        </w:rPr>
        <w:t>pretendeva</w:t>
      </w:r>
      <w:r w:rsidR="00252823">
        <w:rPr>
          <w:rFonts w:ascii="Times New Roman" w:hAnsi="Times New Roman" w:cs="Times New Roman"/>
          <w:sz w:val="22"/>
          <w:szCs w:val="22"/>
        </w:rPr>
        <w:t xml:space="preserve"> di essere stata in Tibet</w:t>
      </w:r>
      <w:r w:rsidR="006D2AC1">
        <w:rPr>
          <w:rFonts w:ascii="Times New Roman" w:hAnsi="Times New Roman" w:cs="Times New Roman"/>
          <w:sz w:val="22"/>
          <w:szCs w:val="22"/>
        </w:rPr>
        <w:t xml:space="preserve"> ed avere ricevuto insegnamenti occulti che avrebbe parzialmente divulgato nei suoi scritti.</w:t>
      </w:r>
      <w:r w:rsidR="006A16FE">
        <w:rPr>
          <w:rFonts w:ascii="Times New Roman" w:hAnsi="Times New Roman" w:cs="Times New Roman"/>
          <w:sz w:val="22"/>
          <w:szCs w:val="22"/>
        </w:rPr>
        <w:t xml:space="preserve"> Pur criticati dagli studiosi, </w:t>
      </w:r>
      <w:r w:rsidR="000D6FDA">
        <w:rPr>
          <w:rFonts w:ascii="Times New Roman" w:hAnsi="Times New Roman" w:cs="Times New Roman"/>
          <w:sz w:val="22"/>
          <w:szCs w:val="22"/>
        </w:rPr>
        <w:t xml:space="preserve">questi </w:t>
      </w:r>
      <w:r w:rsidR="006A16FE">
        <w:rPr>
          <w:rFonts w:ascii="Times New Roman" w:hAnsi="Times New Roman" w:cs="Times New Roman"/>
          <w:sz w:val="22"/>
          <w:szCs w:val="22"/>
        </w:rPr>
        <w:t xml:space="preserve">ebbero un grande successo e alimentarono la moda della ricerca spirituale, oltre all’attesa </w:t>
      </w:r>
      <w:r w:rsidR="00C42285">
        <w:rPr>
          <w:rFonts w:ascii="Times New Roman" w:hAnsi="Times New Roman" w:cs="Times New Roman"/>
          <w:sz w:val="22"/>
          <w:szCs w:val="22"/>
        </w:rPr>
        <w:t xml:space="preserve">di un nuovo messia, </w:t>
      </w:r>
      <w:r w:rsidR="006A16FE">
        <w:rPr>
          <w:rFonts w:ascii="Times New Roman" w:hAnsi="Times New Roman" w:cs="Times New Roman"/>
          <w:sz w:val="22"/>
          <w:szCs w:val="22"/>
        </w:rPr>
        <w:t>che ovviamente sarebbe venuto</w:t>
      </w:r>
      <w:r w:rsidR="00C42285">
        <w:rPr>
          <w:rFonts w:ascii="Times New Roman" w:hAnsi="Times New Roman" w:cs="Times New Roman"/>
          <w:sz w:val="22"/>
          <w:szCs w:val="22"/>
        </w:rPr>
        <w:t xml:space="preserve"> dall’Oriente. </w:t>
      </w:r>
    </w:p>
    <w:p w14:paraId="68AB1D89" w14:textId="2D1241D6" w:rsidR="005B5820" w:rsidRDefault="005B5820" w:rsidP="006A16F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Annie </w:t>
      </w:r>
      <w:proofErr w:type="spellStart"/>
      <w:r>
        <w:rPr>
          <w:rFonts w:ascii="Times New Roman" w:hAnsi="Times New Roman" w:cs="Times New Roman"/>
          <w:sz w:val="22"/>
          <w:szCs w:val="22"/>
        </w:rPr>
        <w:t>Besant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C42285">
        <w:rPr>
          <w:rFonts w:ascii="Times New Roman" w:hAnsi="Times New Roman" w:cs="Times New Roman"/>
          <w:sz w:val="22"/>
          <w:szCs w:val="22"/>
        </w:rPr>
        <w:t>presidente della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2285">
        <w:rPr>
          <w:rFonts w:ascii="Times New Roman" w:hAnsi="Times New Roman" w:cs="Times New Roman"/>
          <w:sz w:val="22"/>
          <w:szCs w:val="22"/>
        </w:rPr>
        <w:t>Società Teosofica</w:t>
      </w:r>
      <w:r w:rsidR="000D6FDA">
        <w:rPr>
          <w:rFonts w:ascii="Times New Roman" w:hAnsi="Times New Roman" w:cs="Times New Roman"/>
          <w:sz w:val="22"/>
          <w:szCs w:val="22"/>
        </w:rPr>
        <w:t>,</w:t>
      </w:r>
      <w:r w:rsidR="00C42285">
        <w:rPr>
          <w:rFonts w:ascii="Times New Roman" w:hAnsi="Times New Roman" w:cs="Times New Roman"/>
          <w:sz w:val="22"/>
          <w:szCs w:val="22"/>
        </w:rPr>
        <w:t xml:space="preserve"> </w:t>
      </w:r>
      <w:r w:rsidR="00C12584">
        <w:rPr>
          <w:rFonts w:ascii="Times New Roman" w:hAnsi="Times New Roman" w:cs="Times New Roman"/>
          <w:sz w:val="22"/>
          <w:szCs w:val="22"/>
        </w:rPr>
        <w:t>vide</w:t>
      </w:r>
      <w:r w:rsidR="00C42285">
        <w:rPr>
          <w:rFonts w:ascii="Times New Roman" w:hAnsi="Times New Roman" w:cs="Times New Roman"/>
          <w:sz w:val="22"/>
          <w:szCs w:val="22"/>
        </w:rPr>
        <w:t xml:space="preserve"> nel giovane </w:t>
      </w:r>
      <w:proofErr w:type="spellStart"/>
      <w:r w:rsidR="00C42285">
        <w:rPr>
          <w:rFonts w:ascii="Times New Roman" w:hAnsi="Times New Roman" w:cs="Times New Roman"/>
          <w:sz w:val="22"/>
          <w:szCs w:val="22"/>
        </w:rPr>
        <w:t>Jiddu</w:t>
      </w:r>
      <w:proofErr w:type="spellEnd"/>
      <w:r w:rsidR="00C422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42285">
        <w:rPr>
          <w:rFonts w:ascii="Times New Roman" w:hAnsi="Times New Roman" w:cs="Times New Roman"/>
          <w:sz w:val="22"/>
          <w:szCs w:val="22"/>
        </w:rPr>
        <w:t>Krishnamurti</w:t>
      </w:r>
      <w:proofErr w:type="spellEnd"/>
      <w:r w:rsidR="00C42285">
        <w:rPr>
          <w:rFonts w:ascii="Times New Roman" w:hAnsi="Times New Roman" w:cs="Times New Roman"/>
          <w:sz w:val="22"/>
          <w:szCs w:val="22"/>
        </w:rPr>
        <w:t xml:space="preserve"> (1895-1986)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2285">
        <w:rPr>
          <w:rFonts w:ascii="Times New Roman" w:hAnsi="Times New Roman" w:cs="Times New Roman"/>
          <w:sz w:val="22"/>
          <w:szCs w:val="22"/>
        </w:rPr>
        <w:t>il futuro Maestro del M</w:t>
      </w:r>
      <w:r>
        <w:rPr>
          <w:rFonts w:ascii="Times New Roman" w:hAnsi="Times New Roman" w:cs="Times New Roman"/>
          <w:sz w:val="22"/>
          <w:szCs w:val="22"/>
        </w:rPr>
        <w:t>ondo</w:t>
      </w:r>
      <w:r w:rsidR="00C12584">
        <w:rPr>
          <w:rFonts w:ascii="Times New Roman" w:hAnsi="Times New Roman" w:cs="Times New Roman"/>
          <w:sz w:val="22"/>
          <w:szCs w:val="22"/>
        </w:rPr>
        <w:t xml:space="preserve"> e lo pos</w:t>
      </w:r>
      <w:r w:rsidR="00C42285">
        <w:rPr>
          <w:rFonts w:ascii="Times New Roman" w:hAnsi="Times New Roman" w:cs="Times New Roman"/>
          <w:sz w:val="22"/>
          <w:szCs w:val="22"/>
        </w:rPr>
        <w:t xml:space="preserve">e a capo dell’Ordine della Stella d’Oriente fondato nel 1911 e sostenuto da una ricca élite culturale. </w:t>
      </w:r>
      <w:proofErr w:type="spellStart"/>
      <w:r w:rsidR="00C42285">
        <w:rPr>
          <w:rFonts w:ascii="Times New Roman" w:hAnsi="Times New Roman" w:cs="Times New Roman"/>
          <w:sz w:val="22"/>
          <w:szCs w:val="22"/>
        </w:rPr>
        <w:t>Krishnamurti</w:t>
      </w:r>
      <w:proofErr w:type="spellEnd"/>
      <w:r w:rsidR="00C42285">
        <w:rPr>
          <w:rFonts w:ascii="Times New Roman" w:hAnsi="Times New Roman" w:cs="Times New Roman"/>
          <w:sz w:val="22"/>
          <w:szCs w:val="22"/>
        </w:rPr>
        <w:t xml:space="preserve">, profondamente avverso </w:t>
      </w:r>
      <w:r w:rsidR="00C12584">
        <w:rPr>
          <w:rFonts w:ascii="Times New Roman" w:hAnsi="Times New Roman" w:cs="Times New Roman"/>
          <w:sz w:val="22"/>
          <w:szCs w:val="22"/>
        </w:rPr>
        <w:t>al</w:t>
      </w:r>
      <w:r w:rsidR="00C42285">
        <w:rPr>
          <w:rFonts w:ascii="Times New Roman" w:hAnsi="Times New Roman" w:cs="Times New Roman"/>
          <w:sz w:val="22"/>
          <w:szCs w:val="22"/>
        </w:rPr>
        <w:t xml:space="preserve"> mito del </w:t>
      </w:r>
      <w:r w:rsidR="00C42285" w:rsidRPr="00C42285">
        <w:rPr>
          <w:rFonts w:ascii="Times New Roman" w:hAnsi="Times New Roman" w:cs="Times New Roman"/>
          <w:i/>
          <w:sz w:val="22"/>
          <w:szCs w:val="22"/>
        </w:rPr>
        <w:t>guru</w:t>
      </w:r>
      <w:r w:rsidR="00C42285">
        <w:rPr>
          <w:rFonts w:ascii="Times New Roman" w:hAnsi="Times New Roman" w:cs="Times New Roman"/>
          <w:sz w:val="22"/>
          <w:szCs w:val="22"/>
        </w:rPr>
        <w:t>, il maestro spirituale che “illumina” il discepolo, sciolse l’Ordine nel 1</w:t>
      </w:r>
      <w:r w:rsidR="00BD41B8">
        <w:rPr>
          <w:rFonts w:ascii="Times New Roman" w:hAnsi="Times New Roman" w:cs="Times New Roman"/>
          <w:sz w:val="22"/>
          <w:szCs w:val="22"/>
        </w:rPr>
        <w:t>929, proclamando che la Verità è</w:t>
      </w:r>
      <w:r w:rsidR="00C42285">
        <w:rPr>
          <w:rFonts w:ascii="Times New Roman" w:hAnsi="Times New Roman" w:cs="Times New Roman"/>
          <w:sz w:val="22"/>
          <w:szCs w:val="22"/>
        </w:rPr>
        <w:t xml:space="preserve"> una terra senza sentieri e che ciascuno deve trovare in essa la propria via</w:t>
      </w:r>
      <w:r w:rsidR="00F10248">
        <w:rPr>
          <w:rFonts w:ascii="Times New Roman" w:hAnsi="Times New Roman" w:cs="Times New Roman"/>
          <w:sz w:val="22"/>
          <w:szCs w:val="22"/>
        </w:rPr>
        <w:t xml:space="preserve"> da solo</w:t>
      </w:r>
      <w:r w:rsidR="00C42285">
        <w:rPr>
          <w:rFonts w:ascii="Times New Roman" w:hAnsi="Times New Roman" w:cs="Times New Roman"/>
          <w:sz w:val="22"/>
          <w:szCs w:val="22"/>
        </w:rPr>
        <w:t>.</w:t>
      </w:r>
    </w:p>
    <w:p w14:paraId="13D37163" w14:textId="57B22669" w:rsidR="00CE0746" w:rsidRPr="00191545" w:rsidRDefault="005D1F33" w:rsidP="000B2846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Intanto </w:t>
      </w:r>
      <w:r w:rsidR="00663F00">
        <w:rPr>
          <w:rFonts w:ascii="Times New Roman" w:hAnsi="Times New Roman" w:cs="Times New Roman"/>
          <w:sz w:val="22"/>
          <w:szCs w:val="22"/>
        </w:rPr>
        <w:t>i</w:t>
      </w:r>
      <w:r w:rsidR="00663F00" w:rsidRPr="00191545">
        <w:rPr>
          <w:rFonts w:ascii="Times New Roman" w:hAnsi="Times New Roman" w:cs="Times New Roman"/>
          <w:sz w:val="22"/>
          <w:szCs w:val="22"/>
        </w:rPr>
        <w:t>l colonialismo – affermatosi alla fine del Settecento – si era saldamente i</w:t>
      </w:r>
      <w:r w:rsidR="00663F00">
        <w:rPr>
          <w:rFonts w:ascii="Times New Roman" w:hAnsi="Times New Roman" w:cs="Times New Roman"/>
          <w:sz w:val="22"/>
          <w:szCs w:val="22"/>
        </w:rPr>
        <w:t>mposto</w:t>
      </w:r>
      <w:r w:rsidR="00663F00" w:rsidRPr="00191545">
        <w:rPr>
          <w:rFonts w:ascii="Times New Roman" w:hAnsi="Times New Roman" w:cs="Times New Roman"/>
          <w:sz w:val="22"/>
          <w:szCs w:val="22"/>
        </w:rPr>
        <w:t xml:space="preserve"> e i vari paesi europei si erano spartiti buona parte dell’Asia. </w:t>
      </w:r>
      <w:r w:rsidR="00663F00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’</w:t>
      </w:r>
      <w:r w:rsidR="00894C47" w:rsidRPr="00191545">
        <w:rPr>
          <w:rFonts w:ascii="Times New Roman" w:hAnsi="Times New Roman" w:cs="Times New Roman"/>
          <w:sz w:val="22"/>
          <w:szCs w:val="22"/>
        </w:rPr>
        <w:t>Ottocento si chiude</w:t>
      </w:r>
      <w:r w:rsidR="00EF3F1D">
        <w:rPr>
          <w:rFonts w:ascii="Times New Roman" w:hAnsi="Times New Roman" w:cs="Times New Roman"/>
          <w:sz w:val="22"/>
          <w:szCs w:val="22"/>
        </w:rPr>
        <w:t>va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con il trionfo dell’</w:t>
      </w:r>
      <w:proofErr w:type="spellStart"/>
      <w:r w:rsidR="00894C47" w:rsidRPr="00922C2F">
        <w:rPr>
          <w:rFonts w:ascii="Times New Roman" w:hAnsi="Times New Roman" w:cs="Times New Roman"/>
          <w:i/>
          <w:sz w:val="22"/>
          <w:szCs w:val="22"/>
        </w:rPr>
        <w:t>Excelsior</w:t>
      </w:r>
      <w:proofErr w:type="spellEnd"/>
      <w:r w:rsidR="00894C47" w:rsidRPr="00191545">
        <w:rPr>
          <w:rFonts w:ascii="Times New Roman" w:hAnsi="Times New Roman" w:cs="Times New Roman"/>
          <w:sz w:val="22"/>
          <w:szCs w:val="22"/>
        </w:rPr>
        <w:t xml:space="preserve">, un balletto in sei parti del coreografo Luigi Manzotti su musica di Romualdo Marenco, rappresentato trionfalmente alla Scala di Milano nel 1881 e in auge fino alla prima guerra mondiale. Cinquecento persone con </w:t>
      </w:r>
      <w:r w:rsidR="00616ADC">
        <w:rPr>
          <w:rFonts w:ascii="Times New Roman" w:hAnsi="Times New Roman" w:cs="Times New Roman"/>
          <w:sz w:val="22"/>
          <w:szCs w:val="22"/>
        </w:rPr>
        <w:t>i costumi sontuosi e le scene a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 ef</w:t>
      </w:r>
      <w:r w:rsidR="00BD41B8">
        <w:rPr>
          <w:rFonts w:ascii="Times New Roman" w:hAnsi="Times New Roman" w:cs="Times New Roman"/>
          <w:sz w:val="22"/>
          <w:szCs w:val="22"/>
        </w:rPr>
        <w:t xml:space="preserve">fetti speciali di Alfredo </w:t>
      </w:r>
      <w:proofErr w:type="spellStart"/>
      <w:r w:rsidR="00BD41B8">
        <w:rPr>
          <w:rFonts w:ascii="Times New Roman" w:hAnsi="Times New Roman" w:cs="Times New Roman"/>
          <w:sz w:val="22"/>
          <w:szCs w:val="22"/>
        </w:rPr>
        <w:t>Edel</w:t>
      </w:r>
      <w:proofErr w:type="spellEnd"/>
      <w:r w:rsidR="00BD41B8">
        <w:rPr>
          <w:rFonts w:ascii="Times New Roman" w:hAnsi="Times New Roman" w:cs="Times New Roman"/>
          <w:sz w:val="22"/>
          <w:szCs w:val="22"/>
        </w:rPr>
        <w:t xml:space="preserve"> </w:t>
      </w:r>
      <w:r w:rsidR="00894C47" w:rsidRPr="00191545">
        <w:rPr>
          <w:rFonts w:ascii="Times New Roman" w:hAnsi="Times New Roman" w:cs="Times New Roman"/>
          <w:sz w:val="22"/>
          <w:szCs w:val="22"/>
        </w:rPr>
        <w:t xml:space="preserve">celebravano la lotta fra la civiltà e l’oscurantismo con trionfo finale del progresso. </w:t>
      </w:r>
      <w:r w:rsidR="00492E70">
        <w:rPr>
          <w:rFonts w:ascii="Times New Roman" w:hAnsi="Times New Roman" w:cs="Times New Roman"/>
          <w:sz w:val="22"/>
          <w:szCs w:val="22"/>
        </w:rPr>
        <w:t>L</w:t>
      </w:r>
      <w:r w:rsidR="00894C47" w:rsidRPr="00191545">
        <w:rPr>
          <w:rFonts w:ascii="Times New Roman" w:hAnsi="Times New Roman" w:cs="Times New Roman"/>
          <w:sz w:val="22"/>
          <w:szCs w:val="22"/>
        </w:rPr>
        <w:t>’Europa</w:t>
      </w:r>
      <w:r w:rsidR="00492E70">
        <w:rPr>
          <w:rFonts w:ascii="Times New Roman" w:hAnsi="Times New Roman" w:cs="Times New Roman"/>
          <w:sz w:val="22"/>
          <w:szCs w:val="22"/>
        </w:rPr>
        <w:t xml:space="preserve"> era convinta che il nuovo secolo avrebbe </w:t>
      </w:r>
      <w:r w:rsidR="00BD41B8">
        <w:rPr>
          <w:rFonts w:ascii="Times New Roman" w:hAnsi="Times New Roman" w:cs="Times New Roman"/>
          <w:sz w:val="22"/>
          <w:szCs w:val="22"/>
        </w:rPr>
        <w:t>schiuso</w:t>
      </w:r>
      <w:r w:rsidR="00492E70">
        <w:rPr>
          <w:rFonts w:ascii="Times New Roman" w:hAnsi="Times New Roman" w:cs="Times New Roman"/>
          <w:sz w:val="22"/>
          <w:szCs w:val="22"/>
        </w:rPr>
        <w:t xml:space="preserve"> le porte di un luminoso futuro</w:t>
      </w:r>
      <w:r w:rsidR="00AD2D02">
        <w:rPr>
          <w:rFonts w:ascii="Times New Roman" w:hAnsi="Times New Roman" w:cs="Times New Roman"/>
          <w:sz w:val="22"/>
          <w:szCs w:val="22"/>
        </w:rPr>
        <w:t xml:space="preserve">, </w:t>
      </w:r>
      <w:r w:rsidR="000F52FB" w:rsidRPr="00191545">
        <w:rPr>
          <w:rFonts w:ascii="Times New Roman" w:hAnsi="Times New Roman" w:cs="Times New Roman"/>
          <w:sz w:val="22"/>
          <w:szCs w:val="22"/>
        </w:rPr>
        <w:t>pervasa dalla fiducia nelle proprie capacità e dalla certezza di essere portatrice di una civiltà superiore</w:t>
      </w:r>
      <w:r w:rsidR="003117F2">
        <w:rPr>
          <w:rFonts w:ascii="Times New Roman" w:hAnsi="Times New Roman" w:cs="Times New Roman"/>
          <w:sz w:val="22"/>
          <w:szCs w:val="22"/>
        </w:rPr>
        <w:t>,</w:t>
      </w:r>
      <w:r w:rsidR="000F52FB" w:rsidRPr="00191545">
        <w:rPr>
          <w:rFonts w:ascii="Times New Roman" w:hAnsi="Times New Roman" w:cs="Times New Roman"/>
          <w:sz w:val="22"/>
          <w:szCs w:val="22"/>
        </w:rPr>
        <w:t xml:space="preserve"> che le imponeva </w:t>
      </w:r>
      <w:r w:rsidR="000F52FB" w:rsidRPr="00B20177">
        <w:rPr>
          <w:rFonts w:ascii="Times New Roman" w:hAnsi="Times New Roman" w:cs="Times New Roman"/>
          <w:sz w:val="22"/>
          <w:szCs w:val="22"/>
        </w:rPr>
        <w:t xml:space="preserve">di diffonderne la luce fuori dai propri confini territoriali. </w:t>
      </w:r>
      <w:r w:rsidR="00425054" w:rsidRPr="00B20177">
        <w:rPr>
          <w:rFonts w:ascii="Times New Roman" w:hAnsi="Times New Roman" w:cs="Times New Roman"/>
          <w:sz w:val="22"/>
          <w:szCs w:val="22"/>
        </w:rPr>
        <w:t xml:space="preserve">Il convincimento derivava da Friedrich </w:t>
      </w:r>
      <w:proofErr w:type="spellStart"/>
      <w:r w:rsidR="00425054" w:rsidRPr="00B20177">
        <w:rPr>
          <w:rFonts w:ascii="Times New Roman" w:hAnsi="Times New Roman"/>
          <w:sz w:val="22"/>
        </w:rPr>
        <w:t>Hegel</w:t>
      </w:r>
      <w:proofErr w:type="spellEnd"/>
      <w:r w:rsidR="00425054" w:rsidRPr="00B20177">
        <w:rPr>
          <w:rFonts w:ascii="Times New Roman" w:hAnsi="Times New Roman"/>
          <w:sz w:val="22"/>
        </w:rPr>
        <w:t xml:space="preserve">, (1770-1831) che, sostenendo il primato dell’uomo europeo, aveva gettato le fondamenta ideologiche del </w:t>
      </w:r>
      <w:r w:rsidR="003117F2">
        <w:rPr>
          <w:rFonts w:ascii="Times New Roman" w:hAnsi="Times New Roman"/>
          <w:sz w:val="22"/>
        </w:rPr>
        <w:t>“</w:t>
      </w:r>
      <w:r w:rsidR="00425054" w:rsidRPr="00B20177">
        <w:rPr>
          <w:rFonts w:ascii="Times New Roman" w:hAnsi="Times New Roman"/>
          <w:sz w:val="22"/>
        </w:rPr>
        <w:t>fardello dell’uomo bianco</w:t>
      </w:r>
      <w:r w:rsidR="003117F2">
        <w:rPr>
          <w:rFonts w:ascii="Times New Roman" w:hAnsi="Times New Roman"/>
          <w:sz w:val="22"/>
        </w:rPr>
        <w:t>”</w:t>
      </w:r>
      <w:r w:rsidR="000F60AF">
        <w:rPr>
          <w:rFonts w:ascii="Times New Roman" w:hAnsi="Times New Roman"/>
          <w:sz w:val="22"/>
        </w:rPr>
        <w:t>,</w:t>
      </w:r>
      <w:r w:rsidR="00425054" w:rsidRPr="00B20177">
        <w:rPr>
          <w:rFonts w:ascii="Times New Roman" w:hAnsi="Times New Roman"/>
          <w:sz w:val="22"/>
        </w:rPr>
        <w:t xml:space="preserve"> tanto caro a Kipling e al futuro impero coloniale britannico.</w:t>
      </w:r>
      <w:r w:rsidR="00663F00">
        <w:rPr>
          <w:rFonts w:ascii="Times New Roman" w:hAnsi="Times New Roman" w:cs="Times New Roman"/>
          <w:sz w:val="22"/>
          <w:szCs w:val="22"/>
        </w:rPr>
        <w:t xml:space="preserve"> </w:t>
      </w:r>
      <w:r w:rsidR="000F52FB" w:rsidRPr="00191545">
        <w:rPr>
          <w:rFonts w:ascii="Times New Roman" w:hAnsi="Times New Roman" w:cs="Times New Roman"/>
          <w:sz w:val="22"/>
          <w:szCs w:val="22"/>
        </w:rPr>
        <w:t xml:space="preserve">E non erano solo i missionari a dedicarsi anima e corpo all’impresa, mossi dall’imperativo dell’evangelizzazione, ma anche laici di diversissima estrazione si sentivano </w:t>
      </w:r>
      <w:r w:rsidR="00663F00">
        <w:rPr>
          <w:rFonts w:ascii="Times New Roman" w:hAnsi="Times New Roman" w:cs="Times New Roman"/>
          <w:sz w:val="22"/>
          <w:szCs w:val="22"/>
        </w:rPr>
        <w:t>chiamati</w:t>
      </w:r>
      <w:r w:rsidR="000F52FB" w:rsidRPr="00191545">
        <w:rPr>
          <w:rFonts w:ascii="Times New Roman" w:hAnsi="Times New Roman" w:cs="Times New Roman"/>
          <w:sz w:val="22"/>
          <w:szCs w:val="22"/>
        </w:rPr>
        <w:t xml:space="preserve"> a civilizzare “selvaggi” che ormai non apparivano più così buoni. </w:t>
      </w:r>
    </w:p>
    <w:p w14:paraId="1B3340DC" w14:textId="77777777" w:rsidR="00A27847" w:rsidRDefault="00894C47" w:rsidP="008A19A2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La prima guerra mondiale spazzò via la convinzione che il progresso scientifico garantisse un mondo migliore e che il diffondersi della cultura assicurasse giustizia sociale e armonia fra i popoli. L’orrore di nove milioni di morti svegliò bruscamente gli Europei dai loro sogni di </w:t>
      </w:r>
      <w:r w:rsidR="005D1F33">
        <w:rPr>
          <w:rFonts w:ascii="Times New Roman" w:hAnsi="Times New Roman" w:cs="Times New Roman"/>
          <w:sz w:val="22"/>
          <w:szCs w:val="22"/>
        </w:rPr>
        <w:t>onnipotenza, inducendo molti</w:t>
      </w:r>
      <w:r w:rsidR="005B5820">
        <w:rPr>
          <w:rFonts w:ascii="Times New Roman" w:hAnsi="Times New Roman" w:cs="Times New Roman"/>
          <w:sz w:val="22"/>
          <w:szCs w:val="22"/>
        </w:rPr>
        <w:t xml:space="preserve"> a contestare e rinnegare le proprie radici culturali. Di nuovo si guardava altrove e l’altrove più prometten</w:t>
      </w:r>
      <w:r w:rsidR="008A19A2">
        <w:rPr>
          <w:rFonts w:ascii="Times New Roman" w:hAnsi="Times New Roman" w:cs="Times New Roman"/>
          <w:sz w:val="22"/>
          <w:szCs w:val="22"/>
        </w:rPr>
        <w:t>te era ancora una volta l’India, non più terra di avventure e di poteri occulti, ma culla di spiritualità e pace.</w:t>
      </w:r>
    </w:p>
    <w:p w14:paraId="0AD9E713" w14:textId="184BF49E" w:rsidR="00394C99" w:rsidRPr="00191545" w:rsidRDefault="008A19A2" w:rsidP="008A19A2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 gli eminenti viaggiatori dei primi del Novecento</w:t>
      </w:r>
      <w:r w:rsidR="0098506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 furono</w:t>
      </w:r>
      <w:r w:rsidR="00C745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molti scrittori, tra cui</w:t>
      </w:r>
      <w:r w:rsidR="00C7456B">
        <w:rPr>
          <w:rFonts w:ascii="Times New Roman" w:hAnsi="Times New Roman" w:cs="Times New Roman"/>
          <w:sz w:val="22"/>
          <w:szCs w:val="22"/>
        </w:rPr>
        <w:t xml:space="preserve"> Guido Gozzano</w:t>
      </w:r>
      <w:r>
        <w:rPr>
          <w:rFonts w:ascii="Times New Roman" w:hAnsi="Times New Roman" w:cs="Times New Roman"/>
          <w:sz w:val="22"/>
          <w:szCs w:val="22"/>
        </w:rPr>
        <w:t>,</w:t>
      </w:r>
      <w:r w:rsidR="00C7456B">
        <w:rPr>
          <w:rFonts w:ascii="Times New Roman" w:hAnsi="Times New Roman" w:cs="Times New Roman"/>
          <w:sz w:val="22"/>
          <w:szCs w:val="22"/>
        </w:rPr>
        <w:t xml:space="preserve"> che andò in India nel 1912</w:t>
      </w:r>
      <w:r>
        <w:rPr>
          <w:rFonts w:ascii="Times New Roman" w:hAnsi="Times New Roman" w:cs="Times New Roman"/>
          <w:sz w:val="22"/>
          <w:szCs w:val="22"/>
        </w:rPr>
        <w:t xml:space="preserve"> e lasciò dei</w:t>
      </w:r>
      <w:r w:rsidR="00826E99">
        <w:rPr>
          <w:rFonts w:ascii="Times New Roman" w:hAnsi="Times New Roman" w:cs="Times New Roman"/>
          <w:sz w:val="22"/>
          <w:szCs w:val="22"/>
        </w:rPr>
        <w:t xml:space="preserve"> resoconti di viaggio pubblicati</w:t>
      </w:r>
      <w:r w:rsidR="00937EE1">
        <w:rPr>
          <w:rFonts w:ascii="Times New Roman" w:hAnsi="Times New Roman" w:cs="Times New Roman"/>
          <w:sz w:val="22"/>
          <w:szCs w:val="22"/>
        </w:rPr>
        <w:t xml:space="preserve"> postumi</w:t>
      </w:r>
      <w:r w:rsidR="00C7456B">
        <w:rPr>
          <w:rFonts w:ascii="Times New Roman" w:hAnsi="Times New Roman" w:cs="Times New Roman"/>
          <w:sz w:val="22"/>
          <w:szCs w:val="22"/>
        </w:rPr>
        <w:t xml:space="preserve"> nel 1917 in </w:t>
      </w:r>
      <w:r w:rsidR="00C7456B" w:rsidRPr="00826E99">
        <w:rPr>
          <w:rFonts w:ascii="Times New Roman" w:hAnsi="Times New Roman" w:cs="Times New Roman"/>
          <w:i/>
          <w:sz w:val="22"/>
          <w:szCs w:val="22"/>
        </w:rPr>
        <w:t>Verso la Cuna del mondo. Lettere dall’India (1912-1913)</w:t>
      </w:r>
      <w:r w:rsidR="00937EE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="00937EE1">
        <w:rPr>
          <w:rFonts w:ascii="Times New Roman" w:hAnsi="Times New Roman" w:cs="Times New Roman"/>
          <w:sz w:val="22"/>
          <w:szCs w:val="22"/>
        </w:rPr>
        <w:t xml:space="preserve"> </w:t>
      </w:r>
      <w:r w:rsidR="00937EE1" w:rsidRPr="00191545">
        <w:rPr>
          <w:rFonts w:ascii="Times New Roman" w:hAnsi="Times New Roman" w:cs="Times New Roman"/>
          <w:sz w:val="22"/>
          <w:szCs w:val="22"/>
        </w:rPr>
        <w:t>Hermann Hesse</w:t>
      </w:r>
      <w:r w:rsidR="003E1F96">
        <w:rPr>
          <w:rFonts w:ascii="Times New Roman" w:hAnsi="Times New Roman" w:cs="Times New Roman"/>
          <w:sz w:val="22"/>
          <w:szCs w:val="22"/>
        </w:rPr>
        <w:t>, che raggiunse Ceylon</w:t>
      </w:r>
      <w:r w:rsidR="00DA089F">
        <w:rPr>
          <w:rFonts w:ascii="Times New Roman" w:hAnsi="Times New Roman" w:cs="Times New Roman"/>
          <w:sz w:val="22"/>
          <w:szCs w:val="22"/>
        </w:rPr>
        <w:t>,</w:t>
      </w:r>
      <w:r w:rsidR="003E1F96">
        <w:rPr>
          <w:rFonts w:ascii="Times New Roman" w:hAnsi="Times New Roman" w:cs="Times New Roman"/>
          <w:sz w:val="22"/>
          <w:szCs w:val="22"/>
        </w:rPr>
        <w:t xml:space="preserve"> ma non l’India nel 1911</w:t>
      </w:r>
      <w:r w:rsidR="00DA089F">
        <w:rPr>
          <w:rFonts w:ascii="Times New Roman" w:hAnsi="Times New Roman" w:cs="Times New Roman"/>
          <w:sz w:val="22"/>
          <w:szCs w:val="22"/>
        </w:rPr>
        <w:t xml:space="preserve">, scrivendo il diario di viaggio </w:t>
      </w:r>
      <w:r w:rsidR="00DA089F" w:rsidRPr="00DA089F">
        <w:rPr>
          <w:rFonts w:ascii="Times New Roman" w:hAnsi="Times New Roman" w:cs="Times New Roman"/>
          <w:i/>
          <w:sz w:val="22"/>
          <w:szCs w:val="22"/>
        </w:rPr>
        <w:t>Fuori dall’India</w:t>
      </w:r>
      <w:r>
        <w:rPr>
          <w:rFonts w:ascii="Times New Roman" w:hAnsi="Times New Roman" w:cs="Times New Roman"/>
          <w:sz w:val="22"/>
          <w:szCs w:val="22"/>
        </w:rPr>
        <w:t xml:space="preserve"> e</w:t>
      </w:r>
      <w:r w:rsidR="00DA089F">
        <w:rPr>
          <w:rFonts w:ascii="Times New Roman" w:hAnsi="Times New Roman" w:cs="Times New Roman"/>
          <w:sz w:val="22"/>
          <w:szCs w:val="22"/>
        </w:rPr>
        <w:t xml:space="preserve"> preparando in qualche modo il terreno per il suo </w:t>
      </w:r>
      <w:r w:rsidR="00DA089F">
        <w:rPr>
          <w:rFonts w:ascii="Times New Roman" w:hAnsi="Times New Roman" w:cs="Times New Roman"/>
          <w:sz w:val="22"/>
          <w:szCs w:val="22"/>
        </w:rPr>
        <w:lastRenderedPageBreak/>
        <w:t xml:space="preserve">celeberrimo </w:t>
      </w:r>
      <w:proofErr w:type="spellStart"/>
      <w:r w:rsidR="00DA089F" w:rsidRPr="00B711B0">
        <w:rPr>
          <w:rFonts w:ascii="Times New Roman" w:hAnsi="Times New Roman" w:cs="Times New Roman"/>
          <w:i/>
          <w:sz w:val="22"/>
          <w:szCs w:val="22"/>
        </w:rPr>
        <w:t>Siddhartha</w:t>
      </w:r>
      <w:proofErr w:type="spellEnd"/>
      <w:r w:rsidR="00DA089F">
        <w:rPr>
          <w:rFonts w:ascii="Times New Roman" w:hAnsi="Times New Roman" w:cs="Times New Roman"/>
          <w:sz w:val="22"/>
          <w:szCs w:val="22"/>
        </w:rPr>
        <w:t xml:space="preserve"> del</w:t>
      </w:r>
      <w:r w:rsidR="00937EE1" w:rsidRPr="00191545">
        <w:rPr>
          <w:rFonts w:ascii="Times New Roman" w:hAnsi="Times New Roman" w:cs="Times New Roman"/>
          <w:sz w:val="22"/>
          <w:szCs w:val="22"/>
        </w:rPr>
        <w:t xml:space="preserve"> 1922</w:t>
      </w:r>
      <w:r w:rsidR="00DA089F">
        <w:rPr>
          <w:rFonts w:ascii="Times New Roman" w:hAnsi="Times New Roman" w:cs="Times New Roman"/>
          <w:sz w:val="22"/>
          <w:szCs w:val="22"/>
        </w:rPr>
        <w:t xml:space="preserve">, che avrebbe avvicinato all’India </w:t>
      </w:r>
      <w:r w:rsidR="00B711B0">
        <w:rPr>
          <w:rFonts w:ascii="Times New Roman" w:hAnsi="Times New Roman" w:cs="Times New Roman"/>
          <w:sz w:val="22"/>
          <w:szCs w:val="22"/>
        </w:rPr>
        <w:t xml:space="preserve">e alla </w:t>
      </w:r>
      <w:r>
        <w:rPr>
          <w:rFonts w:ascii="Times New Roman" w:hAnsi="Times New Roman" w:cs="Times New Roman"/>
          <w:sz w:val="22"/>
          <w:szCs w:val="22"/>
        </w:rPr>
        <w:t xml:space="preserve">sua </w:t>
      </w:r>
      <w:r w:rsidR="00B711B0">
        <w:rPr>
          <w:rFonts w:ascii="Times New Roman" w:hAnsi="Times New Roman" w:cs="Times New Roman"/>
          <w:sz w:val="22"/>
          <w:szCs w:val="22"/>
        </w:rPr>
        <w:t xml:space="preserve">spiritualità </w:t>
      </w:r>
      <w:r w:rsidR="00DA089F">
        <w:rPr>
          <w:rFonts w:ascii="Times New Roman" w:hAnsi="Times New Roman" w:cs="Times New Roman"/>
          <w:sz w:val="22"/>
          <w:szCs w:val="22"/>
        </w:rPr>
        <w:t>milioni di giovani.</w:t>
      </w:r>
      <w:r w:rsidR="00394C99">
        <w:rPr>
          <w:rFonts w:ascii="Times New Roman" w:hAnsi="Times New Roman" w:cs="Times New Roman"/>
          <w:sz w:val="22"/>
          <w:szCs w:val="22"/>
        </w:rPr>
        <w:t xml:space="preserve"> </w:t>
      </w:r>
      <w:r w:rsidR="00394C99" w:rsidRPr="00191545">
        <w:rPr>
          <w:rFonts w:ascii="Times New Roman" w:hAnsi="Times New Roman" w:cs="Times New Roman"/>
          <w:sz w:val="22"/>
          <w:szCs w:val="22"/>
        </w:rPr>
        <w:t>Intanto nasce</w:t>
      </w:r>
      <w:r w:rsidR="0095349A">
        <w:rPr>
          <w:rFonts w:ascii="Times New Roman" w:hAnsi="Times New Roman" w:cs="Times New Roman"/>
          <w:sz w:val="22"/>
          <w:szCs w:val="22"/>
        </w:rPr>
        <w:t>va</w:t>
      </w:r>
      <w:r w:rsidR="00394C99" w:rsidRPr="00191545">
        <w:rPr>
          <w:rFonts w:ascii="Times New Roman" w:hAnsi="Times New Roman" w:cs="Times New Roman"/>
          <w:sz w:val="22"/>
          <w:szCs w:val="22"/>
        </w:rPr>
        <w:t xml:space="preserve"> la psicanalisi: </w:t>
      </w:r>
      <w:r w:rsidR="0095349A">
        <w:rPr>
          <w:rFonts w:ascii="Times New Roman" w:hAnsi="Times New Roman" w:cs="Times New Roman"/>
          <w:sz w:val="22"/>
          <w:szCs w:val="22"/>
        </w:rPr>
        <w:t xml:space="preserve">Carl Gustav </w:t>
      </w:r>
      <w:proofErr w:type="spellStart"/>
      <w:r w:rsidR="00394C99" w:rsidRPr="00191545">
        <w:rPr>
          <w:rFonts w:ascii="Times New Roman" w:hAnsi="Times New Roman" w:cs="Times New Roman"/>
          <w:sz w:val="22"/>
          <w:szCs w:val="22"/>
        </w:rPr>
        <w:t>Jung</w:t>
      </w:r>
      <w:proofErr w:type="spellEnd"/>
      <w:r w:rsidR="00394C99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4C5B66">
        <w:rPr>
          <w:rFonts w:ascii="Times New Roman" w:hAnsi="Times New Roman" w:cs="Times New Roman"/>
          <w:sz w:val="22"/>
          <w:szCs w:val="22"/>
        </w:rPr>
        <w:t>(1875-1962)</w:t>
      </w:r>
      <w:r w:rsidR="00394C99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95349A">
        <w:rPr>
          <w:rFonts w:ascii="Times New Roman" w:hAnsi="Times New Roman" w:cs="Times New Roman"/>
          <w:sz w:val="22"/>
          <w:szCs w:val="22"/>
        </w:rPr>
        <w:t>andò</w:t>
      </w:r>
      <w:r w:rsidR="00394C99" w:rsidRPr="00191545">
        <w:rPr>
          <w:rFonts w:ascii="Times New Roman" w:hAnsi="Times New Roman" w:cs="Times New Roman"/>
          <w:sz w:val="22"/>
          <w:szCs w:val="22"/>
        </w:rPr>
        <w:t xml:space="preserve"> in India nel 1937</w:t>
      </w:r>
      <w:r w:rsidR="00380DCE">
        <w:rPr>
          <w:rFonts w:ascii="Times New Roman" w:hAnsi="Times New Roman" w:cs="Times New Roman"/>
          <w:sz w:val="22"/>
          <w:szCs w:val="22"/>
        </w:rPr>
        <w:t>,</w:t>
      </w:r>
      <w:r w:rsidR="00394C99" w:rsidRPr="00191545">
        <w:rPr>
          <w:rFonts w:ascii="Times New Roman" w:hAnsi="Times New Roman" w:cs="Times New Roman"/>
          <w:sz w:val="22"/>
          <w:szCs w:val="22"/>
        </w:rPr>
        <w:t xml:space="preserve"> ma </w:t>
      </w:r>
      <w:r w:rsidR="0095349A">
        <w:rPr>
          <w:rFonts w:ascii="Times New Roman" w:hAnsi="Times New Roman" w:cs="Times New Roman"/>
          <w:sz w:val="22"/>
          <w:szCs w:val="22"/>
        </w:rPr>
        <w:t>non fu</w:t>
      </w:r>
      <w:r w:rsidR="00380DCE">
        <w:rPr>
          <w:rFonts w:ascii="Times New Roman" w:hAnsi="Times New Roman" w:cs="Times New Roman"/>
          <w:sz w:val="22"/>
          <w:szCs w:val="22"/>
        </w:rPr>
        <w:t xml:space="preserve"> per nulla un’esperienza esaltante</w:t>
      </w:r>
      <w:r w:rsidR="0095349A">
        <w:rPr>
          <w:rFonts w:ascii="Times New Roman" w:hAnsi="Times New Roman" w:cs="Times New Roman"/>
          <w:sz w:val="22"/>
          <w:szCs w:val="22"/>
        </w:rPr>
        <w:t xml:space="preserve">, benché alcuni percorsi di conoscenza interiore – lo yoga, la meditazione, l’uso del </w:t>
      </w:r>
      <w:r w:rsidR="0095349A" w:rsidRPr="00616ADC">
        <w:rPr>
          <w:rFonts w:ascii="Times New Roman" w:hAnsi="Times New Roman" w:cs="Times New Roman"/>
          <w:i/>
          <w:sz w:val="22"/>
          <w:szCs w:val="22"/>
        </w:rPr>
        <w:t>mandala</w:t>
      </w:r>
      <w:r w:rsidR="0095349A">
        <w:rPr>
          <w:rFonts w:ascii="Times New Roman" w:hAnsi="Times New Roman" w:cs="Times New Roman"/>
          <w:sz w:val="22"/>
          <w:szCs w:val="22"/>
        </w:rPr>
        <w:t xml:space="preserve"> – </w:t>
      </w:r>
      <w:r w:rsidR="00F0431A">
        <w:rPr>
          <w:rFonts w:ascii="Times New Roman" w:hAnsi="Times New Roman" w:cs="Times New Roman"/>
          <w:sz w:val="22"/>
          <w:szCs w:val="22"/>
        </w:rPr>
        <w:t>l’avessero colpito</w:t>
      </w:r>
      <w:r w:rsidR="0048082E">
        <w:rPr>
          <w:rFonts w:ascii="Times New Roman" w:hAnsi="Times New Roman" w:cs="Times New Roman"/>
          <w:sz w:val="22"/>
          <w:szCs w:val="22"/>
        </w:rPr>
        <w:t xml:space="preserve"> e </w:t>
      </w:r>
      <w:r w:rsidR="00DA7837">
        <w:rPr>
          <w:rFonts w:ascii="Times New Roman" w:hAnsi="Times New Roman" w:cs="Times New Roman"/>
          <w:sz w:val="22"/>
          <w:szCs w:val="22"/>
        </w:rPr>
        <w:t>ispirato</w:t>
      </w:r>
      <w:r w:rsidR="0095349A">
        <w:rPr>
          <w:rFonts w:ascii="Times New Roman" w:hAnsi="Times New Roman" w:cs="Times New Roman"/>
          <w:sz w:val="22"/>
          <w:szCs w:val="22"/>
        </w:rPr>
        <w:t>.</w:t>
      </w:r>
    </w:p>
    <w:p w14:paraId="24995242" w14:textId="12FF71A5" w:rsidR="00F72C87" w:rsidRPr="00191545" w:rsidRDefault="006C6AF2" w:rsidP="006C6AF2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191545">
        <w:rPr>
          <w:rFonts w:ascii="Times New Roman" w:hAnsi="Times New Roman" w:cs="Times New Roman"/>
          <w:sz w:val="22"/>
          <w:szCs w:val="22"/>
        </w:rPr>
        <w:t xml:space="preserve">alla fine dell’Ottocento l’approccio alla cultura indiana da parte dell’Europa </w:t>
      </w:r>
      <w:r>
        <w:rPr>
          <w:rFonts w:ascii="Times New Roman" w:hAnsi="Times New Roman" w:cs="Times New Roman"/>
          <w:sz w:val="22"/>
          <w:szCs w:val="22"/>
        </w:rPr>
        <w:t xml:space="preserve">cominciò a modificarsi, </w:t>
      </w:r>
      <w:r w:rsidR="00C93B4F">
        <w:rPr>
          <w:rFonts w:ascii="Times New Roman" w:hAnsi="Times New Roman" w:cs="Times New Roman"/>
          <w:sz w:val="22"/>
          <w:szCs w:val="22"/>
        </w:rPr>
        <w:t>con la presa di coscienza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545">
        <w:rPr>
          <w:rFonts w:ascii="Times New Roman" w:hAnsi="Times New Roman" w:cs="Times New Roman"/>
          <w:sz w:val="22"/>
          <w:szCs w:val="22"/>
        </w:rPr>
        <w:t xml:space="preserve">che solo attraverso uno studio privo di pregiudizi e di </w:t>
      </w:r>
      <w:r>
        <w:rPr>
          <w:rFonts w:ascii="Times New Roman" w:hAnsi="Times New Roman" w:cs="Times New Roman"/>
          <w:sz w:val="22"/>
          <w:szCs w:val="22"/>
        </w:rPr>
        <w:t>proiezioni</w:t>
      </w:r>
      <w:r w:rsidRPr="00191545">
        <w:rPr>
          <w:rFonts w:ascii="Times New Roman" w:hAnsi="Times New Roman" w:cs="Times New Roman"/>
          <w:sz w:val="22"/>
          <w:szCs w:val="22"/>
        </w:rPr>
        <w:t xml:space="preserve"> ci si sarebbe potuti avvicinare al cuore dell’India. </w:t>
      </w:r>
      <w:r w:rsidR="00F72C87">
        <w:rPr>
          <w:rFonts w:ascii="Times New Roman" w:hAnsi="Times New Roman" w:cs="Times New Roman"/>
          <w:sz w:val="22"/>
          <w:szCs w:val="22"/>
        </w:rPr>
        <w:t>Con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il Novecento </w:t>
      </w:r>
      <w:r w:rsidR="00F72C87">
        <w:rPr>
          <w:rFonts w:ascii="Times New Roman" w:hAnsi="Times New Roman" w:cs="Times New Roman"/>
          <w:sz w:val="22"/>
          <w:szCs w:val="22"/>
        </w:rPr>
        <w:t>si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F72C87">
        <w:rPr>
          <w:rFonts w:ascii="Times New Roman" w:hAnsi="Times New Roman" w:cs="Times New Roman"/>
          <w:sz w:val="22"/>
          <w:szCs w:val="22"/>
        </w:rPr>
        <w:t>approfondirono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gli studi </w:t>
      </w:r>
      <w:r w:rsidR="00F72C87">
        <w:rPr>
          <w:rFonts w:ascii="Times New Roman" w:hAnsi="Times New Roman" w:cs="Times New Roman"/>
          <w:sz w:val="22"/>
          <w:szCs w:val="22"/>
        </w:rPr>
        <w:t xml:space="preserve">indologici </w:t>
      </w:r>
      <w:r w:rsidR="00F72C87" w:rsidRPr="00191545">
        <w:rPr>
          <w:rFonts w:ascii="Times New Roman" w:hAnsi="Times New Roman" w:cs="Times New Roman"/>
          <w:sz w:val="22"/>
          <w:szCs w:val="22"/>
        </w:rPr>
        <w:t>e</w:t>
      </w:r>
      <w:r w:rsidR="00F72C87">
        <w:rPr>
          <w:rFonts w:ascii="Times New Roman" w:hAnsi="Times New Roman" w:cs="Times New Roman"/>
          <w:sz w:val="22"/>
          <w:szCs w:val="22"/>
        </w:rPr>
        <w:t>,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F72C87">
        <w:rPr>
          <w:rFonts w:ascii="Times New Roman" w:hAnsi="Times New Roman" w:cs="Times New Roman"/>
          <w:sz w:val="22"/>
          <w:szCs w:val="22"/>
        </w:rPr>
        <w:t>soprattutto,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l’Europa </w:t>
      </w:r>
      <w:r w:rsidR="00F72C87">
        <w:rPr>
          <w:rFonts w:ascii="Times New Roman" w:hAnsi="Times New Roman" w:cs="Times New Roman"/>
          <w:sz w:val="22"/>
          <w:szCs w:val="22"/>
        </w:rPr>
        <w:t>cominciò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a riflettere sull’antitesi Oriente/Occidente</w:t>
      </w:r>
      <w:r w:rsidR="00F72C87">
        <w:rPr>
          <w:rFonts w:ascii="Times New Roman" w:hAnsi="Times New Roman" w:cs="Times New Roman"/>
          <w:sz w:val="22"/>
          <w:szCs w:val="22"/>
        </w:rPr>
        <w:t xml:space="preserve">. </w:t>
      </w:r>
      <w:r w:rsidR="00DF4DF5">
        <w:rPr>
          <w:rFonts w:ascii="Times New Roman" w:hAnsi="Times New Roman" w:cs="Times New Roman"/>
          <w:sz w:val="22"/>
          <w:szCs w:val="22"/>
        </w:rPr>
        <w:t>Nel corso della storia l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’Oriente </w:t>
      </w:r>
      <w:r w:rsidR="00DF4DF5">
        <w:rPr>
          <w:rFonts w:ascii="Times New Roman" w:hAnsi="Times New Roman" w:cs="Times New Roman"/>
          <w:sz w:val="22"/>
          <w:szCs w:val="22"/>
        </w:rPr>
        <w:t>per l’Europa era stato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3B390F">
        <w:rPr>
          <w:rFonts w:ascii="Times New Roman" w:hAnsi="Times New Roman" w:cs="Times New Roman"/>
          <w:sz w:val="22"/>
          <w:szCs w:val="22"/>
        </w:rPr>
        <w:t>di volta in volta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C65397">
        <w:rPr>
          <w:rFonts w:ascii="Times New Roman" w:hAnsi="Times New Roman" w:cs="Times New Roman"/>
          <w:sz w:val="22"/>
          <w:szCs w:val="22"/>
        </w:rPr>
        <w:t>estraneo,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inquietante, </w:t>
      </w:r>
      <w:r w:rsidR="00C65397">
        <w:rPr>
          <w:rFonts w:ascii="Times New Roman" w:hAnsi="Times New Roman" w:cs="Times New Roman"/>
          <w:sz w:val="22"/>
          <w:szCs w:val="22"/>
        </w:rPr>
        <w:t xml:space="preserve">fascinoso, 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culturalmente inferiore. A falsarne la visione </w:t>
      </w:r>
      <w:r w:rsidR="00C65397">
        <w:rPr>
          <w:rFonts w:ascii="Times New Roman" w:hAnsi="Times New Roman" w:cs="Times New Roman"/>
          <w:sz w:val="22"/>
          <w:szCs w:val="22"/>
        </w:rPr>
        <w:t>era stata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l’ottica europocentrica: l’Europa, piccola appendice dell’Asia, si </w:t>
      </w:r>
      <w:r w:rsidR="00C65397">
        <w:rPr>
          <w:rFonts w:ascii="Times New Roman" w:hAnsi="Times New Roman" w:cs="Times New Roman"/>
          <w:sz w:val="22"/>
          <w:szCs w:val="22"/>
        </w:rPr>
        <w:t>era posta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al centro del mondo (ma anc</w:t>
      </w:r>
      <w:r w:rsidR="000B2846">
        <w:rPr>
          <w:rFonts w:ascii="Times New Roman" w:hAnsi="Times New Roman" w:cs="Times New Roman"/>
          <w:sz w:val="22"/>
          <w:szCs w:val="22"/>
        </w:rPr>
        <w:t xml:space="preserve">he </w:t>
      </w:r>
      <w:r w:rsidR="001C5A48">
        <w:rPr>
          <w:rFonts w:ascii="Times New Roman" w:hAnsi="Times New Roman" w:cs="Times New Roman"/>
          <w:sz w:val="22"/>
          <w:szCs w:val="22"/>
        </w:rPr>
        <w:t>l’</w:t>
      </w:r>
      <w:r w:rsidR="000B2846">
        <w:rPr>
          <w:rFonts w:ascii="Times New Roman" w:hAnsi="Times New Roman" w:cs="Times New Roman"/>
          <w:sz w:val="22"/>
          <w:szCs w:val="22"/>
        </w:rPr>
        <w:t xml:space="preserve">India </w:t>
      </w:r>
      <w:r w:rsidR="001C5A48">
        <w:rPr>
          <w:rFonts w:ascii="Times New Roman" w:hAnsi="Times New Roman" w:cs="Times New Roman"/>
          <w:sz w:val="22"/>
          <w:szCs w:val="22"/>
        </w:rPr>
        <w:t>l’aveva</w:t>
      </w:r>
      <w:r w:rsidR="000B2846">
        <w:rPr>
          <w:rFonts w:ascii="Times New Roman" w:hAnsi="Times New Roman" w:cs="Times New Roman"/>
          <w:sz w:val="22"/>
          <w:szCs w:val="22"/>
        </w:rPr>
        <w:t xml:space="preserve"> fatto, tanto da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considerare tutti gli altri popoli barbari e da non desiderare di uscire dai propri confini per esplorare realtà</w:t>
      </w:r>
      <w:r w:rsidR="00C65397">
        <w:rPr>
          <w:rFonts w:ascii="Times New Roman" w:hAnsi="Times New Roman" w:cs="Times New Roman"/>
          <w:sz w:val="22"/>
          <w:szCs w:val="22"/>
        </w:rPr>
        <w:t xml:space="preserve"> diverse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) e da lì </w:t>
      </w:r>
      <w:r w:rsidR="00C65397">
        <w:rPr>
          <w:rFonts w:ascii="Times New Roman" w:hAnsi="Times New Roman" w:cs="Times New Roman"/>
          <w:sz w:val="22"/>
          <w:szCs w:val="22"/>
        </w:rPr>
        <w:t>aveva letto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in maniera aprioristica e viziata da preg</w:t>
      </w:r>
      <w:r w:rsidR="00215202">
        <w:rPr>
          <w:rFonts w:ascii="Times New Roman" w:hAnsi="Times New Roman" w:cs="Times New Roman"/>
          <w:sz w:val="22"/>
          <w:szCs w:val="22"/>
        </w:rPr>
        <w:t>iudizi le culture che stavano a</w:t>
      </w:r>
      <w:r w:rsidR="00F72C87" w:rsidRPr="00191545">
        <w:rPr>
          <w:rFonts w:ascii="Times New Roman" w:hAnsi="Times New Roman" w:cs="Times New Roman"/>
          <w:sz w:val="22"/>
          <w:szCs w:val="22"/>
        </w:rPr>
        <w:t xml:space="preserve"> oriente. </w:t>
      </w:r>
    </w:p>
    <w:p w14:paraId="28F56A72" w14:textId="600DB448" w:rsidR="00F72C87" w:rsidRPr="00191545" w:rsidRDefault="00F72C87" w:rsidP="00F72C8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Su questo luogo apparentemente geografico - il posto dove nasce il sole e che serve per l’orientamento – </w:t>
      </w:r>
      <w:r w:rsidR="00890494">
        <w:rPr>
          <w:rFonts w:ascii="Times New Roman" w:hAnsi="Times New Roman" w:cs="Times New Roman"/>
          <w:sz w:val="22"/>
          <w:szCs w:val="22"/>
        </w:rPr>
        <w:t>aveva proiettato</w:t>
      </w:r>
      <w:r w:rsidRPr="00191545">
        <w:rPr>
          <w:rFonts w:ascii="Times New Roman" w:hAnsi="Times New Roman" w:cs="Times New Roman"/>
          <w:sz w:val="22"/>
          <w:szCs w:val="22"/>
        </w:rPr>
        <w:t xml:space="preserve"> una serie di bisogni, aspettative, sogni che non avev</w:t>
      </w:r>
      <w:r w:rsidR="00890494">
        <w:rPr>
          <w:rFonts w:ascii="Times New Roman" w:hAnsi="Times New Roman" w:cs="Times New Roman"/>
          <w:sz w:val="22"/>
          <w:szCs w:val="22"/>
        </w:rPr>
        <w:t>ano trovato accoglienza in essa: i</w:t>
      </w:r>
      <w:r w:rsidRPr="00191545">
        <w:rPr>
          <w:rFonts w:ascii="Times New Roman" w:hAnsi="Times New Roman" w:cs="Times New Roman"/>
          <w:sz w:val="22"/>
          <w:szCs w:val="22"/>
        </w:rPr>
        <w:t>l desiderio del mirabile e del misterioso, che l’Illuminismo e il conseguente razionalismo avevano irriso e deprecato; l’anelito a luoghi di pace e purezza, ove lo Spirito, bandito da un certo tipo di materialismo e progresso tecnologico, potesse rivendicare il diritto di esistere; la necessità di esprimere i contenuti oscuri della psiche, senza che fossero demonizzati senza appello, ma anzi con la speranza di poterli comprendere e reintegrare.</w:t>
      </w:r>
    </w:p>
    <w:p w14:paraId="6A01614B" w14:textId="2C9898AE" w:rsidR="00F72C87" w:rsidRDefault="00F72C87" w:rsidP="006C6AF2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>L’Oriente, in effetti, era una categoria dello spirito con alterne valenze</w:t>
      </w:r>
      <w:r w:rsidR="00890494">
        <w:rPr>
          <w:rFonts w:ascii="Times New Roman" w:hAnsi="Times New Roman" w:cs="Times New Roman"/>
          <w:sz w:val="22"/>
          <w:szCs w:val="22"/>
        </w:rPr>
        <w:t>,</w:t>
      </w:r>
      <w:r w:rsidRPr="00191545">
        <w:rPr>
          <w:rFonts w:ascii="Times New Roman" w:hAnsi="Times New Roman" w:cs="Times New Roman"/>
          <w:sz w:val="22"/>
          <w:szCs w:val="22"/>
        </w:rPr>
        <w:t xml:space="preserve"> così come l’Occidente era un topos culturale, con confini più storici che geografici. Le mode del momento, poi, ne determinavano le interpretazioni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191545">
        <w:rPr>
          <w:rFonts w:ascii="Times New Roman" w:hAnsi="Times New Roman" w:cs="Times New Roman"/>
          <w:sz w:val="22"/>
          <w:szCs w:val="22"/>
        </w:rPr>
        <w:t xml:space="preserve">Ma </w:t>
      </w:r>
      <w:r w:rsidR="00890494">
        <w:rPr>
          <w:rFonts w:ascii="Times New Roman" w:hAnsi="Times New Roman" w:cs="Times New Roman"/>
          <w:sz w:val="22"/>
          <w:szCs w:val="22"/>
        </w:rPr>
        <w:t xml:space="preserve">ormai, nel Novecento, </w:t>
      </w:r>
      <w:r w:rsidRPr="00191545">
        <w:rPr>
          <w:rFonts w:ascii="Times New Roman" w:hAnsi="Times New Roman" w:cs="Times New Roman"/>
          <w:sz w:val="22"/>
          <w:szCs w:val="22"/>
        </w:rPr>
        <w:t xml:space="preserve">l’antitesi Oriente/Occidente </w:t>
      </w:r>
      <w:r w:rsidR="00890494">
        <w:rPr>
          <w:rFonts w:ascii="Times New Roman" w:hAnsi="Times New Roman" w:cs="Times New Roman"/>
          <w:sz w:val="22"/>
          <w:szCs w:val="22"/>
        </w:rPr>
        <w:t>risultava</w:t>
      </w:r>
      <w:r w:rsidRPr="00191545">
        <w:rPr>
          <w:rFonts w:ascii="Times New Roman" w:hAnsi="Times New Roman" w:cs="Times New Roman"/>
          <w:sz w:val="22"/>
          <w:szCs w:val="22"/>
        </w:rPr>
        <w:t xml:space="preserve"> assurda: il Ventesimo secolo si affacciava su una nuova dimensione transculturale, travalicante le frontiere: si profilava ormai l’Eurasia. </w:t>
      </w:r>
    </w:p>
    <w:p w14:paraId="6CF1058A" w14:textId="72EE0018" w:rsidR="000B36AE" w:rsidRDefault="000C3DDB" w:rsidP="006D6F6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Eppure</w:t>
      </w:r>
      <w:r w:rsidR="006872C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dopo la Seconda Guerra Mondiale</w:t>
      </w:r>
      <w:r w:rsidR="00466F3E">
        <w:rPr>
          <w:rFonts w:ascii="Times New Roman" w:hAnsi="Times New Roman" w:cs="Times New Roman"/>
          <w:sz w:val="22"/>
          <w:szCs w:val="22"/>
        </w:rPr>
        <w:t xml:space="preserve"> e la terribi</w:t>
      </w:r>
      <w:r w:rsidR="00193DAC">
        <w:rPr>
          <w:rFonts w:ascii="Times New Roman" w:hAnsi="Times New Roman" w:cs="Times New Roman"/>
          <w:sz w:val="22"/>
          <w:szCs w:val="22"/>
        </w:rPr>
        <w:t>l</w:t>
      </w:r>
      <w:r w:rsidR="00466F3E">
        <w:rPr>
          <w:rFonts w:ascii="Times New Roman" w:hAnsi="Times New Roman" w:cs="Times New Roman"/>
          <w:sz w:val="22"/>
          <w:szCs w:val="22"/>
        </w:rPr>
        <w:t>e esperienza del Vietnam</w:t>
      </w:r>
      <w:r w:rsidR="006872CE">
        <w:rPr>
          <w:rFonts w:ascii="Times New Roman" w:hAnsi="Times New Roman" w:cs="Times New Roman"/>
          <w:sz w:val="22"/>
          <w:szCs w:val="22"/>
        </w:rPr>
        <w:t>,</w:t>
      </w:r>
      <w:r w:rsidR="00466F3E">
        <w:rPr>
          <w:rFonts w:ascii="Times New Roman" w:hAnsi="Times New Roman" w:cs="Times New Roman"/>
          <w:sz w:val="22"/>
          <w:szCs w:val="22"/>
        </w:rPr>
        <w:t xml:space="preserve"> un’altra generazione di giovani </w:t>
      </w:r>
      <w:r w:rsidR="00F3295F">
        <w:rPr>
          <w:rFonts w:ascii="Times New Roman" w:hAnsi="Times New Roman" w:cs="Times New Roman"/>
          <w:sz w:val="22"/>
          <w:szCs w:val="22"/>
        </w:rPr>
        <w:t xml:space="preserve">delusi dalla propria cultura </w:t>
      </w:r>
      <w:r w:rsidR="00466F3E">
        <w:rPr>
          <w:rFonts w:ascii="Times New Roman" w:hAnsi="Times New Roman" w:cs="Times New Roman"/>
          <w:sz w:val="22"/>
          <w:szCs w:val="22"/>
        </w:rPr>
        <w:t>si rivolse all’</w:t>
      </w:r>
      <w:r w:rsidR="00193DAC">
        <w:rPr>
          <w:rFonts w:ascii="Times New Roman" w:hAnsi="Times New Roman" w:cs="Times New Roman"/>
          <w:sz w:val="22"/>
          <w:szCs w:val="22"/>
        </w:rPr>
        <w:t>India:</w:t>
      </w:r>
      <w:r w:rsidR="00466F3E">
        <w:rPr>
          <w:rFonts w:ascii="Times New Roman" w:hAnsi="Times New Roman" w:cs="Times New Roman"/>
          <w:sz w:val="22"/>
          <w:szCs w:val="22"/>
        </w:rPr>
        <w:t xml:space="preserve"> </w:t>
      </w:r>
      <w:r w:rsidR="00193DAC">
        <w:rPr>
          <w:rFonts w:ascii="Times New Roman" w:hAnsi="Times New Roman" w:cs="Times New Roman"/>
          <w:sz w:val="22"/>
          <w:szCs w:val="22"/>
        </w:rPr>
        <w:t>negli</w:t>
      </w:r>
      <w:r w:rsidR="00757321">
        <w:t xml:space="preserve"> </w:t>
      </w:r>
      <w:r w:rsidR="00757321" w:rsidRPr="00193DAC">
        <w:rPr>
          <w:rFonts w:ascii="Times New Roman" w:hAnsi="Times New Roman" w:cs="Times New Roman"/>
          <w:sz w:val="22"/>
          <w:szCs w:val="22"/>
        </w:rPr>
        <w:t xml:space="preserve">anni Sessanta del secolo scorso frotte di giovani della </w:t>
      </w:r>
      <w:r w:rsidR="00757321" w:rsidRPr="000B36AE">
        <w:rPr>
          <w:rFonts w:ascii="Times New Roman" w:hAnsi="Times New Roman" w:cs="Times New Roman"/>
          <w:i/>
          <w:sz w:val="22"/>
          <w:szCs w:val="22"/>
        </w:rPr>
        <w:t>beat generation</w:t>
      </w:r>
      <w:r w:rsidR="00757321" w:rsidRPr="00193DAC">
        <w:rPr>
          <w:rFonts w:ascii="Times New Roman" w:hAnsi="Times New Roman" w:cs="Times New Roman"/>
          <w:sz w:val="22"/>
          <w:szCs w:val="22"/>
        </w:rPr>
        <w:t xml:space="preserve"> </w:t>
      </w:r>
      <w:r w:rsidR="004F6902">
        <w:rPr>
          <w:rFonts w:ascii="Times New Roman" w:hAnsi="Times New Roman" w:cs="Times New Roman"/>
          <w:sz w:val="22"/>
          <w:szCs w:val="22"/>
        </w:rPr>
        <w:t xml:space="preserve">e di </w:t>
      </w:r>
      <w:r w:rsidR="001B10F9">
        <w:rPr>
          <w:rFonts w:ascii="Times New Roman" w:hAnsi="Times New Roman" w:cs="Times New Roman"/>
          <w:sz w:val="22"/>
          <w:szCs w:val="22"/>
        </w:rPr>
        <w:t>“</w:t>
      </w:r>
      <w:r w:rsidR="004F6902">
        <w:rPr>
          <w:rFonts w:ascii="Times New Roman" w:hAnsi="Times New Roman" w:cs="Times New Roman"/>
          <w:sz w:val="22"/>
          <w:szCs w:val="22"/>
        </w:rPr>
        <w:t>Figli dei F</w:t>
      </w:r>
      <w:r w:rsidR="001B10F9">
        <w:rPr>
          <w:rFonts w:ascii="Times New Roman" w:hAnsi="Times New Roman" w:cs="Times New Roman"/>
          <w:sz w:val="22"/>
          <w:szCs w:val="22"/>
        </w:rPr>
        <w:t xml:space="preserve">iori” </w:t>
      </w:r>
      <w:r w:rsidR="000B36AE">
        <w:rPr>
          <w:rFonts w:ascii="Times New Roman" w:hAnsi="Times New Roman" w:cs="Times New Roman"/>
          <w:sz w:val="22"/>
          <w:szCs w:val="22"/>
        </w:rPr>
        <w:t xml:space="preserve">ispirati dal </w:t>
      </w:r>
      <w:r w:rsidR="000B36AE" w:rsidRPr="000B36AE">
        <w:rPr>
          <w:rFonts w:ascii="Times New Roman" w:hAnsi="Times New Roman" w:cs="Times New Roman"/>
          <w:i/>
          <w:sz w:val="22"/>
          <w:szCs w:val="22"/>
        </w:rPr>
        <w:t>Diario Indiano</w:t>
      </w:r>
      <w:r w:rsidR="000B36AE">
        <w:rPr>
          <w:rFonts w:ascii="Times New Roman" w:hAnsi="Times New Roman" w:cs="Times New Roman"/>
          <w:sz w:val="22"/>
          <w:szCs w:val="22"/>
        </w:rPr>
        <w:t xml:space="preserve"> di </w:t>
      </w:r>
      <w:r w:rsidR="000B36AE" w:rsidRPr="00191545">
        <w:rPr>
          <w:rFonts w:ascii="Times New Roman" w:hAnsi="Times New Roman" w:cs="Times New Roman"/>
          <w:sz w:val="22"/>
          <w:szCs w:val="22"/>
        </w:rPr>
        <w:t xml:space="preserve">Allen </w:t>
      </w:r>
      <w:proofErr w:type="spellStart"/>
      <w:r w:rsidR="000B36AE" w:rsidRPr="00191545">
        <w:rPr>
          <w:rFonts w:ascii="Times New Roman" w:hAnsi="Times New Roman" w:cs="Times New Roman"/>
          <w:sz w:val="22"/>
          <w:szCs w:val="22"/>
        </w:rPr>
        <w:t>Ginsberg</w:t>
      </w:r>
      <w:proofErr w:type="spellEnd"/>
      <w:r w:rsidR="000B36AE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0B36AE">
        <w:rPr>
          <w:rFonts w:ascii="Times New Roman" w:hAnsi="Times New Roman" w:cs="Times New Roman"/>
          <w:sz w:val="22"/>
          <w:szCs w:val="22"/>
        </w:rPr>
        <w:t xml:space="preserve">del </w:t>
      </w:r>
      <w:r w:rsidR="000B36AE" w:rsidRPr="00191545">
        <w:rPr>
          <w:rFonts w:ascii="Times New Roman" w:hAnsi="Times New Roman" w:cs="Times New Roman"/>
          <w:sz w:val="22"/>
          <w:szCs w:val="22"/>
        </w:rPr>
        <w:t>196</w:t>
      </w:r>
      <w:r w:rsidR="000B36AE">
        <w:rPr>
          <w:rFonts w:ascii="Times New Roman" w:hAnsi="Times New Roman" w:cs="Times New Roman"/>
          <w:sz w:val="22"/>
          <w:szCs w:val="22"/>
        </w:rPr>
        <w:t xml:space="preserve">2 </w:t>
      </w:r>
      <w:r w:rsidR="00F3295F">
        <w:rPr>
          <w:rFonts w:ascii="Times New Roman" w:hAnsi="Times New Roman" w:cs="Times New Roman"/>
          <w:sz w:val="22"/>
          <w:szCs w:val="22"/>
        </w:rPr>
        <w:t>vi andarono</w:t>
      </w:r>
      <w:r w:rsidR="000B36AE">
        <w:rPr>
          <w:rFonts w:ascii="Times New Roman" w:hAnsi="Times New Roman" w:cs="Times New Roman"/>
          <w:sz w:val="22"/>
          <w:szCs w:val="22"/>
        </w:rPr>
        <w:t>,</w:t>
      </w:r>
      <w:r w:rsidR="00F3295F">
        <w:rPr>
          <w:rFonts w:ascii="Times New Roman" w:hAnsi="Times New Roman" w:cs="Times New Roman"/>
          <w:sz w:val="22"/>
          <w:szCs w:val="22"/>
        </w:rPr>
        <w:t xml:space="preserve"> seguendo </w:t>
      </w:r>
      <w:r w:rsidR="00241648">
        <w:rPr>
          <w:rFonts w:ascii="Times New Roman" w:hAnsi="Times New Roman" w:cs="Times New Roman"/>
          <w:sz w:val="22"/>
          <w:szCs w:val="22"/>
        </w:rPr>
        <w:t xml:space="preserve">le orme dei </w:t>
      </w:r>
      <w:r w:rsidR="00241648" w:rsidRPr="00191545">
        <w:rPr>
          <w:rFonts w:ascii="Times New Roman" w:hAnsi="Times New Roman" w:cs="Times New Roman"/>
          <w:sz w:val="22"/>
          <w:szCs w:val="22"/>
        </w:rPr>
        <w:t>Beatles</w:t>
      </w:r>
      <w:r w:rsidR="000B36AE">
        <w:rPr>
          <w:rFonts w:ascii="Times New Roman" w:hAnsi="Times New Roman" w:cs="Times New Roman"/>
          <w:sz w:val="22"/>
          <w:szCs w:val="22"/>
        </w:rPr>
        <w:t>,</w:t>
      </w:r>
      <w:r w:rsidR="00241648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241648">
        <w:rPr>
          <w:rFonts w:ascii="Times New Roman" w:hAnsi="Times New Roman" w:cs="Times New Roman"/>
          <w:sz w:val="22"/>
          <w:szCs w:val="22"/>
        </w:rPr>
        <w:t>che nel 1968</w:t>
      </w:r>
      <w:r w:rsidR="00241648" w:rsidRPr="00191545">
        <w:rPr>
          <w:rFonts w:ascii="Times New Roman" w:hAnsi="Times New Roman" w:cs="Times New Roman"/>
          <w:sz w:val="22"/>
          <w:szCs w:val="22"/>
        </w:rPr>
        <w:t xml:space="preserve"> </w:t>
      </w:r>
      <w:r w:rsidR="000B36AE">
        <w:rPr>
          <w:rFonts w:ascii="Times New Roman" w:hAnsi="Times New Roman" w:cs="Times New Roman"/>
          <w:sz w:val="22"/>
          <w:szCs w:val="22"/>
        </w:rPr>
        <w:t xml:space="preserve">si erano ritirati </w:t>
      </w:r>
      <w:r w:rsidR="00241648" w:rsidRPr="00191545">
        <w:rPr>
          <w:rFonts w:ascii="Times New Roman" w:hAnsi="Times New Roman" w:cs="Times New Roman"/>
          <w:sz w:val="22"/>
          <w:szCs w:val="22"/>
        </w:rPr>
        <w:t xml:space="preserve">a Rishikesh </w:t>
      </w:r>
      <w:r w:rsidR="000B36AE">
        <w:rPr>
          <w:rFonts w:ascii="Times New Roman" w:hAnsi="Times New Roman" w:cs="Times New Roman"/>
          <w:sz w:val="22"/>
          <w:szCs w:val="22"/>
        </w:rPr>
        <w:t>per cercare</w:t>
      </w:r>
      <w:r w:rsidR="00241648">
        <w:rPr>
          <w:rFonts w:ascii="Times New Roman" w:hAnsi="Times New Roman" w:cs="Times New Roman"/>
          <w:sz w:val="22"/>
          <w:szCs w:val="22"/>
        </w:rPr>
        <w:t xml:space="preserve"> la realizzazione spirituale </w:t>
      </w:r>
      <w:r w:rsidR="000B36AE">
        <w:rPr>
          <w:rFonts w:ascii="Times New Roman" w:hAnsi="Times New Roman" w:cs="Times New Roman"/>
          <w:sz w:val="22"/>
          <w:szCs w:val="22"/>
        </w:rPr>
        <w:t xml:space="preserve">sotto la guida del </w:t>
      </w:r>
      <w:r w:rsidR="000B36AE" w:rsidRPr="000B36AE">
        <w:rPr>
          <w:rFonts w:ascii="Times New Roman" w:hAnsi="Times New Roman" w:cs="Times New Roman"/>
          <w:i/>
          <w:sz w:val="22"/>
          <w:szCs w:val="22"/>
        </w:rPr>
        <w:t>guru</w:t>
      </w:r>
      <w:r w:rsidR="00241648"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1648" w:rsidRPr="00191545">
        <w:rPr>
          <w:rFonts w:ascii="Times New Roman" w:hAnsi="Times New Roman" w:cs="Times New Roman"/>
          <w:sz w:val="22"/>
          <w:szCs w:val="22"/>
        </w:rPr>
        <w:t>Maharishi</w:t>
      </w:r>
      <w:proofErr w:type="spellEnd"/>
      <w:r w:rsidR="00241648" w:rsidRPr="001915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41648" w:rsidRPr="00191545">
        <w:rPr>
          <w:rFonts w:ascii="Times New Roman" w:hAnsi="Times New Roman" w:cs="Times New Roman"/>
          <w:sz w:val="22"/>
          <w:szCs w:val="22"/>
        </w:rPr>
        <w:t>Mahesh</w:t>
      </w:r>
      <w:proofErr w:type="spellEnd"/>
      <w:r w:rsidR="00241648" w:rsidRPr="00191545">
        <w:rPr>
          <w:rFonts w:ascii="Times New Roman" w:hAnsi="Times New Roman" w:cs="Times New Roman"/>
          <w:sz w:val="22"/>
          <w:szCs w:val="22"/>
        </w:rPr>
        <w:t xml:space="preserve"> Yogi</w:t>
      </w:r>
      <w:r w:rsidR="000B36AE">
        <w:rPr>
          <w:rFonts w:ascii="Times New Roman" w:hAnsi="Times New Roman" w:cs="Times New Roman"/>
          <w:sz w:val="22"/>
          <w:szCs w:val="22"/>
        </w:rPr>
        <w:t xml:space="preserve">. </w:t>
      </w:r>
      <w:r w:rsidR="006853A9">
        <w:rPr>
          <w:rFonts w:ascii="Times New Roman" w:hAnsi="Times New Roman" w:cs="Times New Roman"/>
          <w:sz w:val="22"/>
          <w:szCs w:val="22"/>
        </w:rPr>
        <w:t>Purtroppo</w:t>
      </w:r>
      <w:r w:rsidR="000B36AE">
        <w:rPr>
          <w:rFonts w:ascii="Times New Roman" w:hAnsi="Times New Roman" w:cs="Times New Roman"/>
          <w:sz w:val="22"/>
          <w:szCs w:val="22"/>
        </w:rPr>
        <w:t xml:space="preserve"> molti, invece di trovarvi</w:t>
      </w:r>
      <w:r w:rsidR="00241648">
        <w:rPr>
          <w:rFonts w:ascii="Times New Roman" w:hAnsi="Times New Roman" w:cs="Times New Roman"/>
          <w:sz w:val="22"/>
          <w:szCs w:val="22"/>
        </w:rPr>
        <w:t xml:space="preserve"> </w:t>
      </w:r>
      <w:r w:rsidR="00757321" w:rsidRPr="00193DAC">
        <w:rPr>
          <w:rFonts w:ascii="Times New Roman" w:hAnsi="Times New Roman" w:cs="Times New Roman"/>
          <w:sz w:val="22"/>
          <w:szCs w:val="22"/>
        </w:rPr>
        <w:t xml:space="preserve">pace e libertà, </w:t>
      </w:r>
      <w:r w:rsidR="000B36AE">
        <w:rPr>
          <w:rFonts w:ascii="Times New Roman" w:hAnsi="Times New Roman" w:cs="Times New Roman"/>
          <w:sz w:val="22"/>
          <w:szCs w:val="22"/>
        </w:rPr>
        <w:t>finirono</w:t>
      </w:r>
      <w:r w:rsidR="00757321" w:rsidRPr="00193DAC">
        <w:rPr>
          <w:rFonts w:ascii="Times New Roman" w:hAnsi="Times New Roman" w:cs="Times New Roman"/>
          <w:sz w:val="22"/>
          <w:szCs w:val="22"/>
        </w:rPr>
        <w:t xml:space="preserve"> per perdersi lungo la strada. </w:t>
      </w:r>
    </w:p>
    <w:p w14:paraId="2FCFA9A9" w14:textId="01C4DD9D" w:rsidR="00193DAC" w:rsidRPr="00193DAC" w:rsidRDefault="000B36AE" w:rsidP="006D6F6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via dell’India </w:t>
      </w:r>
      <w:r w:rsidR="006E7649">
        <w:rPr>
          <w:rFonts w:ascii="Times New Roman" w:hAnsi="Times New Roman" w:cs="Times New Roman"/>
          <w:sz w:val="22"/>
          <w:szCs w:val="22"/>
        </w:rPr>
        <w:t>fu intrapresa</w:t>
      </w:r>
      <w:r>
        <w:rPr>
          <w:rFonts w:ascii="Times New Roman" w:hAnsi="Times New Roman" w:cs="Times New Roman"/>
          <w:sz w:val="22"/>
          <w:szCs w:val="22"/>
        </w:rPr>
        <w:t xml:space="preserve"> anche </w:t>
      </w:r>
      <w:r w:rsidR="000B34A1">
        <w:rPr>
          <w:rFonts w:ascii="Times New Roman" w:hAnsi="Times New Roman" w:cs="Times New Roman"/>
          <w:sz w:val="22"/>
          <w:szCs w:val="22"/>
        </w:rPr>
        <w:t xml:space="preserve">da </w:t>
      </w:r>
      <w:r>
        <w:rPr>
          <w:rFonts w:ascii="Times New Roman" w:hAnsi="Times New Roman" w:cs="Times New Roman"/>
          <w:sz w:val="22"/>
          <w:szCs w:val="22"/>
        </w:rPr>
        <w:t xml:space="preserve">famosi scrittori italiani, </w:t>
      </w:r>
      <w:r w:rsidR="007F1287">
        <w:rPr>
          <w:rFonts w:ascii="Times New Roman" w:hAnsi="Times New Roman" w:cs="Times New Roman"/>
          <w:sz w:val="22"/>
          <w:szCs w:val="22"/>
        </w:rPr>
        <w:t xml:space="preserve">Alberto </w:t>
      </w:r>
      <w:r>
        <w:rPr>
          <w:rFonts w:ascii="Times New Roman" w:hAnsi="Times New Roman" w:cs="Times New Roman"/>
          <w:sz w:val="22"/>
          <w:szCs w:val="22"/>
        </w:rPr>
        <w:t xml:space="preserve">Moravia cui si deve </w:t>
      </w:r>
      <w:r w:rsidRPr="000B36AE">
        <w:rPr>
          <w:rFonts w:ascii="Times New Roman" w:hAnsi="Times New Roman" w:cs="Times New Roman"/>
          <w:i/>
          <w:sz w:val="22"/>
          <w:szCs w:val="22"/>
        </w:rPr>
        <w:t>U</w:t>
      </w:r>
      <w:r w:rsidR="006D6F66" w:rsidRPr="000B36AE">
        <w:rPr>
          <w:rFonts w:ascii="Times New Roman" w:hAnsi="Times New Roman" w:cs="Times New Roman"/>
          <w:i/>
          <w:sz w:val="22"/>
          <w:szCs w:val="22"/>
        </w:rPr>
        <w:t>n’idea dell’India</w:t>
      </w:r>
      <w:r w:rsidR="006D6F66" w:rsidRPr="0019154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7F1287">
        <w:rPr>
          <w:rFonts w:ascii="Times New Roman" w:hAnsi="Times New Roman" w:cs="Times New Roman"/>
          <w:sz w:val="22"/>
          <w:szCs w:val="22"/>
        </w:rPr>
        <w:t xml:space="preserve">Pier Paolo </w:t>
      </w:r>
      <w:r w:rsidR="006D6F66" w:rsidRPr="00191545">
        <w:rPr>
          <w:rFonts w:ascii="Times New Roman" w:hAnsi="Times New Roman" w:cs="Times New Roman"/>
          <w:sz w:val="22"/>
          <w:szCs w:val="22"/>
        </w:rPr>
        <w:t xml:space="preserve">Pasolini </w:t>
      </w:r>
      <w:r>
        <w:rPr>
          <w:rFonts w:ascii="Times New Roman" w:hAnsi="Times New Roman" w:cs="Times New Roman"/>
          <w:sz w:val="22"/>
          <w:szCs w:val="22"/>
        </w:rPr>
        <w:t xml:space="preserve">autore di </w:t>
      </w:r>
      <w:r w:rsidR="006D6F66" w:rsidRPr="000B36AE">
        <w:rPr>
          <w:rFonts w:ascii="Times New Roman" w:hAnsi="Times New Roman" w:cs="Times New Roman"/>
          <w:i/>
          <w:sz w:val="22"/>
          <w:szCs w:val="22"/>
        </w:rPr>
        <w:t>Odore dell’India</w:t>
      </w:r>
      <w:r>
        <w:rPr>
          <w:rFonts w:ascii="Times New Roman" w:hAnsi="Times New Roman" w:cs="Times New Roman"/>
          <w:sz w:val="22"/>
          <w:szCs w:val="22"/>
        </w:rPr>
        <w:t xml:space="preserve">, che vi andarono insieme a Elsa Morante </w:t>
      </w:r>
      <w:r w:rsidR="006D6F66" w:rsidRPr="00191545">
        <w:rPr>
          <w:rFonts w:ascii="Times New Roman" w:hAnsi="Times New Roman" w:cs="Times New Roman"/>
          <w:sz w:val="22"/>
          <w:szCs w:val="22"/>
        </w:rPr>
        <w:t>nel 1961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195741">
        <w:rPr>
          <w:rFonts w:ascii="Times New Roman" w:hAnsi="Times New Roman" w:cs="Times New Roman"/>
          <w:sz w:val="22"/>
          <w:szCs w:val="22"/>
        </w:rPr>
        <w:t xml:space="preserve">ne scaturirono </w:t>
      </w:r>
      <w:r>
        <w:rPr>
          <w:rFonts w:ascii="Times New Roman" w:hAnsi="Times New Roman" w:cs="Times New Roman"/>
          <w:sz w:val="22"/>
          <w:szCs w:val="22"/>
        </w:rPr>
        <w:t xml:space="preserve">due resoconti dello stesso Paese profondamente </w:t>
      </w:r>
      <w:r w:rsidR="002234CD">
        <w:rPr>
          <w:rFonts w:ascii="Times New Roman" w:hAnsi="Times New Roman" w:cs="Times New Roman"/>
          <w:sz w:val="22"/>
          <w:szCs w:val="22"/>
        </w:rPr>
        <w:t>differenti</w:t>
      </w:r>
      <w:r>
        <w:rPr>
          <w:rFonts w:ascii="Times New Roman" w:hAnsi="Times New Roman" w:cs="Times New Roman"/>
          <w:sz w:val="22"/>
          <w:szCs w:val="22"/>
        </w:rPr>
        <w:t xml:space="preserve">, a riprova di come l’India </w:t>
      </w:r>
      <w:r w:rsidR="00195741">
        <w:rPr>
          <w:rFonts w:ascii="Times New Roman" w:hAnsi="Times New Roman" w:cs="Times New Roman"/>
          <w:sz w:val="22"/>
          <w:szCs w:val="22"/>
        </w:rPr>
        <w:t>muovesse</w:t>
      </w:r>
      <w:r>
        <w:rPr>
          <w:rFonts w:ascii="Times New Roman" w:hAnsi="Times New Roman" w:cs="Times New Roman"/>
          <w:sz w:val="22"/>
          <w:szCs w:val="22"/>
        </w:rPr>
        <w:t xml:space="preserve"> emozioni diverse e addirittura antitetiche.</w:t>
      </w:r>
    </w:p>
    <w:p w14:paraId="355C5859" w14:textId="452DCBB1" w:rsidR="000C3DDB" w:rsidRPr="00193DAC" w:rsidRDefault="00757321" w:rsidP="00F72C8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93DAC">
        <w:rPr>
          <w:rFonts w:ascii="Times New Roman" w:hAnsi="Times New Roman" w:cs="Times New Roman"/>
          <w:sz w:val="22"/>
          <w:szCs w:val="22"/>
        </w:rPr>
        <w:t xml:space="preserve">Ma quanti davvero dei tantissimi e </w:t>
      </w:r>
      <w:r w:rsidR="00766315">
        <w:rPr>
          <w:rFonts w:ascii="Times New Roman" w:hAnsi="Times New Roman" w:cs="Times New Roman"/>
          <w:sz w:val="22"/>
          <w:szCs w:val="22"/>
        </w:rPr>
        <w:t>disparati</w:t>
      </w:r>
      <w:r w:rsidRPr="00193DAC">
        <w:rPr>
          <w:rFonts w:ascii="Times New Roman" w:hAnsi="Times New Roman" w:cs="Times New Roman"/>
          <w:sz w:val="22"/>
          <w:szCs w:val="22"/>
        </w:rPr>
        <w:t xml:space="preserve"> viaggiatori alla volta dell’India furono in grado di vederla per quello che era e non come volevano che fosse, proiettandovi le proprie aspettative? Disse bene </w:t>
      </w:r>
      <w:r w:rsidRPr="00193DAC">
        <w:rPr>
          <w:rFonts w:ascii="Times New Roman" w:hAnsi="Times New Roman" w:cs="Times New Roman"/>
          <w:sz w:val="22"/>
          <w:szCs w:val="22"/>
        </w:rPr>
        <w:lastRenderedPageBreak/>
        <w:t>Hermann Hesse quando affermò che qu</w:t>
      </w:r>
      <w:r w:rsidR="008B6951">
        <w:rPr>
          <w:rFonts w:ascii="Times New Roman" w:hAnsi="Times New Roman" w:cs="Times New Roman"/>
          <w:sz w:val="22"/>
          <w:szCs w:val="22"/>
        </w:rPr>
        <w:t>ell’India vagheggiata da certi E</w:t>
      </w:r>
      <w:r w:rsidRPr="00193DAC">
        <w:rPr>
          <w:rFonts w:ascii="Times New Roman" w:hAnsi="Times New Roman" w:cs="Times New Roman"/>
          <w:sz w:val="22"/>
          <w:szCs w:val="22"/>
        </w:rPr>
        <w:t>uropei, lui per primo, era una dimensione del cuore e non un luogo geografico.</w:t>
      </w:r>
      <w:r w:rsidR="00903CE1">
        <w:rPr>
          <w:rFonts w:ascii="Times New Roman" w:hAnsi="Times New Roman" w:cs="Times New Roman"/>
          <w:sz w:val="22"/>
          <w:szCs w:val="22"/>
        </w:rPr>
        <w:t xml:space="preserve"> Eppure </w:t>
      </w:r>
      <w:r w:rsidR="007C38DC">
        <w:rPr>
          <w:rFonts w:ascii="Times New Roman" w:hAnsi="Times New Roman" w:cs="Times New Roman"/>
          <w:sz w:val="22"/>
          <w:szCs w:val="22"/>
        </w:rPr>
        <w:t>anche</w:t>
      </w:r>
      <w:r w:rsidR="00903CE1">
        <w:rPr>
          <w:rFonts w:ascii="Times New Roman" w:hAnsi="Times New Roman" w:cs="Times New Roman"/>
          <w:sz w:val="22"/>
          <w:szCs w:val="22"/>
        </w:rPr>
        <w:t xml:space="preserve"> </w:t>
      </w:r>
      <w:r w:rsidR="00F1657E">
        <w:rPr>
          <w:rFonts w:ascii="Times New Roman" w:hAnsi="Times New Roman" w:cs="Times New Roman"/>
          <w:sz w:val="22"/>
          <w:szCs w:val="22"/>
        </w:rPr>
        <w:t>oggi</w:t>
      </w:r>
      <w:r w:rsidR="00FF0B6F">
        <w:rPr>
          <w:rFonts w:ascii="Times New Roman" w:hAnsi="Times New Roman" w:cs="Times New Roman"/>
          <w:sz w:val="22"/>
          <w:szCs w:val="22"/>
        </w:rPr>
        <w:t>, in maniera più o meno sotterranea,</w:t>
      </w:r>
      <w:r w:rsidR="007C38DC">
        <w:rPr>
          <w:rFonts w:ascii="Times New Roman" w:hAnsi="Times New Roman" w:cs="Times New Roman"/>
          <w:sz w:val="22"/>
          <w:szCs w:val="22"/>
        </w:rPr>
        <w:t xml:space="preserve"> il rapporto con l’India è ancora condizionato da </w:t>
      </w:r>
      <w:r w:rsidR="0025139B">
        <w:rPr>
          <w:rFonts w:ascii="Times New Roman" w:hAnsi="Times New Roman" w:cs="Times New Roman"/>
          <w:sz w:val="22"/>
          <w:szCs w:val="22"/>
        </w:rPr>
        <w:t>quel</w:t>
      </w:r>
      <w:r w:rsidR="007C38DC">
        <w:rPr>
          <w:rFonts w:ascii="Times New Roman" w:hAnsi="Times New Roman" w:cs="Times New Roman"/>
          <w:sz w:val="22"/>
          <w:szCs w:val="22"/>
        </w:rPr>
        <w:t xml:space="preserve"> sentire partico</w:t>
      </w:r>
      <w:r w:rsidR="0025139B">
        <w:rPr>
          <w:rFonts w:ascii="Times New Roman" w:hAnsi="Times New Roman" w:cs="Times New Roman"/>
          <w:sz w:val="22"/>
          <w:szCs w:val="22"/>
        </w:rPr>
        <w:t>lare</w:t>
      </w:r>
      <w:r w:rsidR="007C38DC">
        <w:rPr>
          <w:rFonts w:ascii="Times New Roman" w:hAnsi="Times New Roman" w:cs="Times New Roman"/>
          <w:sz w:val="22"/>
          <w:szCs w:val="22"/>
        </w:rPr>
        <w:t xml:space="preserve"> espresso tra il serio e il faceto dal</w:t>
      </w:r>
      <w:r w:rsidR="00903CE1">
        <w:rPr>
          <w:rFonts w:ascii="Times New Roman" w:hAnsi="Times New Roman" w:cs="Times New Roman"/>
          <w:sz w:val="22"/>
          <w:szCs w:val="22"/>
        </w:rPr>
        <w:t xml:space="preserve">la frase di Moravia: </w:t>
      </w:r>
      <w:r w:rsidR="00903CE1" w:rsidRPr="00F44E9D">
        <w:rPr>
          <w:rFonts w:ascii="Times New Roman" w:hAnsi="Times New Roman" w:cs="Times New Roman"/>
          <w:i/>
          <w:iCs/>
          <w:sz w:val="22"/>
          <w:szCs w:val="22"/>
        </w:rPr>
        <w:t>“L’India è il Paese delle cose incredibili che si guardano tre volte stropicciandosi gli occhi e credendo di avere avuto le traveggole”</w:t>
      </w:r>
      <w:r w:rsidR="00F1657E" w:rsidRPr="00F44E9D">
        <w:rPr>
          <w:rFonts w:ascii="Times New Roman" w:hAnsi="Times New Roman" w:cs="Times New Roman"/>
          <w:iCs/>
          <w:sz w:val="22"/>
          <w:szCs w:val="22"/>
        </w:rPr>
        <w:t>.</w:t>
      </w:r>
    </w:p>
    <w:p w14:paraId="51FE57D5" w14:textId="77777777" w:rsidR="00F72C87" w:rsidRPr="00193DAC" w:rsidRDefault="00F72C87" w:rsidP="00F72C8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5D00D393" w14:textId="6BE75449" w:rsidR="00F72C87" w:rsidRDefault="00F72C87" w:rsidP="00F72C8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34213259" w14:textId="77777777" w:rsidR="00F72C87" w:rsidRDefault="00F72C87" w:rsidP="00F72C8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6398ECA" w14:textId="77777777" w:rsidR="00FD3AAB" w:rsidRDefault="00FD3AAB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4927B79F" w14:textId="77777777" w:rsidR="00FD3AAB" w:rsidRDefault="00FD3AAB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1D0F6835" w14:textId="77777777" w:rsidR="00CD75D8" w:rsidRPr="00191545" w:rsidRDefault="00CD75D8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359DB13D" w14:textId="050C6DF0" w:rsidR="002C7613" w:rsidRPr="00191545" w:rsidRDefault="00CD75D8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9154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9BA3B5" w14:textId="77777777" w:rsidR="002C7613" w:rsidRPr="00191545" w:rsidRDefault="002C7613" w:rsidP="00DF3827">
      <w:pPr>
        <w:tabs>
          <w:tab w:val="left" w:pos="9214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DE4D902" w14:textId="77777777" w:rsidR="0088285F" w:rsidRPr="00191545" w:rsidRDefault="0088285F" w:rsidP="00DF3827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48749B5" w14:textId="77777777" w:rsidR="00B21B43" w:rsidRPr="00191545" w:rsidRDefault="00B21B43" w:rsidP="00DF3827">
      <w:pPr>
        <w:spacing w:line="360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sectPr w:rsidR="00B21B43" w:rsidRPr="00191545" w:rsidSect="006311B2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BED3" w14:textId="77777777" w:rsidR="00A4639C" w:rsidRDefault="00A4639C" w:rsidP="00DF6E1C">
      <w:r>
        <w:separator/>
      </w:r>
    </w:p>
  </w:endnote>
  <w:endnote w:type="continuationSeparator" w:id="0">
    <w:p w14:paraId="6CFFC1FA" w14:textId="77777777" w:rsidR="00A4639C" w:rsidRDefault="00A4639C" w:rsidP="00DF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59D7" w14:textId="77777777" w:rsidR="00A4639C" w:rsidRDefault="00A4639C" w:rsidP="00DF6E1C">
      <w:r>
        <w:separator/>
      </w:r>
    </w:p>
  </w:footnote>
  <w:footnote w:type="continuationSeparator" w:id="0">
    <w:p w14:paraId="52B1407F" w14:textId="77777777" w:rsidR="00A4639C" w:rsidRDefault="00A4639C" w:rsidP="00DF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51"/>
    <w:rsid w:val="00020113"/>
    <w:rsid w:val="00025C59"/>
    <w:rsid w:val="00033808"/>
    <w:rsid w:val="00037D04"/>
    <w:rsid w:val="00040F54"/>
    <w:rsid w:val="000530F8"/>
    <w:rsid w:val="000750AD"/>
    <w:rsid w:val="000914C4"/>
    <w:rsid w:val="00094288"/>
    <w:rsid w:val="0009797E"/>
    <w:rsid w:val="000A544F"/>
    <w:rsid w:val="000A6D85"/>
    <w:rsid w:val="000B2202"/>
    <w:rsid w:val="000B2846"/>
    <w:rsid w:val="000B34A1"/>
    <w:rsid w:val="000B36AE"/>
    <w:rsid w:val="000C3DDB"/>
    <w:rsid w:val="000C4363"/>
    <w:rsid w:val="000D4C5E"/>
    <w:rsid w:val="000D6FDA"/>
    <w:rsid w:val="000F52FB"/>
    <w:rsid w:val="000F60AF"/>
    <w:rsid w:val="000F6229"/>
    <w:rsid w:val="001015B9"/>
    <w:rsid w:val="00116FB8"/>
    <w:rsid w:val="0012237D"/>
    <w:rsid w:val="00132078"/>
    <w:rsid w:val="00134A7D"/>
    <w:rsid w:val="00145145"/>
    <w:rsid w:val="00150E9A"/>
    <w:rsid w:val="00154FA8"/>
    <w:rsid w:val="001622BC"/>
    <w:rsid w:val="00163584"/>
    <w:rsid w:val="0017082B"/>
    <w:rsid w:val="00170BD7"/>
    <w:rsid w:val="00170EA8"/>
    <w:rsid w:val="001757EA"/>
    <w:rsid w:val="00191545"/>
    <w:rsid w:val="00193DAC"/>
    <w:rsid w:val="00194148"/>
    <w:rsid w:val="00195741"/>
    <w:rsid w:val="001A4887"/>
    <w:rsid w:val="001B10F9"/>
    <w:rsid w:val="001C5A48"/>
    <w:rsid w:val="001D60C8"/>
    <w:rsid w:val="001E198D"/>
    <w:rsid w:val="001E31A4"/>
    <w:rsid w:val="001F34AB"/>
    <w:rsid w:val="001F5435"/>
    <w:rsid w:val="00200101"/>
    <w:rsid w:val="002009FD"/>
    <w:rsid w:val="002115E8"/>
    <w:rsid w:val="00213764"/>
    <w:rsid w:val="00215183"/>
    <w:rsid w:val="00215202"/>
    <w:rsid w:val="002234CD"/>
    <w:rsid w:val="002253D5"/>
    <w:rsid w:val="002259FC"/>
    <w:rsid w:val="00226F22"/>
    <w:rsid w:val="002331A2"/>
    <w:rsid w:val="00240B99"/>
    <w:rsid w:val="00241648"/>
    <w:rsid w:val="00241CF4"/>
    <w:rsid w:val="0025139B"/>
    <w:rsid w:val="00252823"/>
    <w:rsid w:val="0026795A"/>
    <w:rsid w:val="002A5260"/>
    <w:rsid w:val="002A792D"/>
    <w:rsid w:val="002B0272"/>
    <w:rsid w:val="002C60D2"/>
    <w:rsid w:val="002C7613"/>
    <w:rsid w:val="002D4D59"/>
    <w:rsid w:val="002E5BFD"/>
    <w:rsid w:val="002F41EB"/>
    <w:rsid w:val="003117F2"/>
    <w:rsid w:val="00312A58"/>
    <w:rsid w:val="0031798A"/>
    <w:rsid w:val="00332162"/>
    <w:rsid w:val="00336E4C"/>
    <w:rsid w:val="00347468"/>
    <w:rsid w:val="00360977"/>
    <w:rsid w:val="00376886"/>
    <w:rsid w:val="00380DCE"/>
    <w:rsid w:val="00394C99"/>
    <w:rsid w:val="003A6D64"/>
    <w:rsid w:val="003A70BB"/>
    <w:rsid w:val="003B2C4C"/>
    <w:rsid w:val="003B390F"/>
    <w:rsid w:val="003B4B2E"/>
    <w:rsid w:val="003C4855"/>
    <w:rsid w:val="003C4FBA"/>
    <w:rsid w:val="003D2BC5"/>
    <w:rsid w:val="003E1F96"/>
    <w:rsid w:val="0041282F"/>
    <w:rsid w:val="00423216"/>
    <w:rsid w:val="004236AD"/>
    <w:rsid w:val="00425054"/>
    <w:rsid w:val="004307EE"/>
    <w:rsid w:val="00451027"/>
    <w:rsid w:val="0046242B"/>
    <w:rsid w:val="00466F3E"/>
    <w:rsid w:val="0047198D"/>
    <w:rsid w:val="0048082E"/>
    <w:rsid w:val="0049145A"/>
    <w:rsid w:val="00492E70"/>
    <w:rsid w:val="004C5B66"/>
    <w:rsid w:val="004D60D2"/>
    <w:rsid w:val="004E472A"/>
    <w:rsid w:val="004E668C"/>
    <w:rsid w:val="004F1F69"/>
    <w:rsid w:val="004F369C"/>
    <w:rsid w:val="004F6902"/>
    <w:rsid w:val="004F7882"/>
    <w:rsid w:val="00522593"/>
    <w:rsid w:val="0052505F"/>
    <w:rsid w:val="00543BB6"/>
    <w:rsid w:val="00560044"/>
    <w:rsid w:val="00560257"/>
    <w:rsid w:val="00571D8F"/>
    <w:rsid w:val="00596B68"/>
    <w:rsid w:val="005B156A"/>
    <w:rsid w:val="005B39AB"/>
    <w:rsid w:val="005B5820"/>
    <w:rsid w:val="005C6A49"/>
    <w:rsid w:val="005D1F33"/>
    <w:rsid w:val="005E77D8"/>
    <w:rsid w:val="005E7ABD"/>
    <w:rsid w:val="00611B20"/>
    <w:rsid w:val="00616ADC"/>
    <w:rsid w:val="0062146D"/>
    <w:rsid w:val="00627642"/>
    <w:rsid w:val="006311B2"/>
    <w:rsid w:val="00632C18"/>
    <w:rsid w:val="00663F00"/>
    <w:rsid w:val="006853A9"/>
    <w:rsid w:val="006872CE"/>
    <w:rsid w:val="0069174F"/>
    <w:rsid w:val="00697E53"/>
    <w:rsid w:val="006A16FE"/>
    <w:rsid w:val="006A29C2"/>
    <w:rsid w:val="006A3F31"/>
    <w:rsid w:val="006C5782"/>
    <w:rsid w:val="006C6AF2"/>
    <w:rsid w:val="006D0975"/>
    <w:rsid w:val="006D2AC1"/>
    <w:rsid w:val="006D6F66"/>
    <w:rsid w:val="006D7932"/>
    <w:rsid w:val="006E116C"/>
    <w:rsid w:val="006E4780"/>
    <w:rsid w:val="006E7649"/>
    <w:rsid w:val="00713CD5"/>
    <w:rsid w:val="00714E09"/>
    <w:rsid w:val="0072487B"/>
    <w:rsid w:val="00730A0F"/>
    <w:rsid w:val="00737409"/>
    <w:rsid w:val="00741680"/>
    <w:rsid w:val="00742445"/>
    <w:rsid w:val="00747468"/>
    <w:rsid w:val="00757321"/>
    <w:rsid w:val="007650C2"/>
    <w:rsid w:val="00766315"/>
    <w:rsid w:val="0079252D"/>
    <w:rsid w:val="0079342D"/>
    <w:rsid w:val="007B41E1"/>
    <w:rsid w:val="007B6EEA"/>
    <w:rsid w:val="007C38DC"/>
    <w:rsid w:val="007D1451"/>
    <w:rsid w:val="007D2F29"/>
    <w:rsid w:val="007F1287"/>
    <w:rsid w:val="007F1F2B"/>
    <w:rsid w:val="007F42B3"/>
    <w:rsid w:val="007F62A4"/>
    <w:rsid w:val="007F6B45"/>
    <w:rsid w:val="00807E22"/>
    <w:rsid w:val="00826E99"/>
    <w:rsid w:val="00827017"/>
    <w:rsid w:val="00843EB6"/>
    <w:rsid w:val="00862B4F"/>
    <w:rsid w:val="00881EAC"/>
    <w:rsid w:val="00881FDC"/>
    <w:rsid w:val="0088285F"/>
    <w:rsid w:val="00890494"/>
    <w:rsid w:val="00894C47"/>
    <w:rsid w:val="00896986"/>
    <w:rsid w:val="008A19A2"/>
    <w:rsid w:val="008A6B0C"/>
    <w:rsid w:val="008A7AB1"/>
    <w:rsid w:val="008B1EFF"/>
    <w:rsid w:val="008B6951"/>
    <w:rsid w:val="008B6C83"/>
    <w:rsid w:val="008C0D1B"/>
    <w:rsid w:val="008C13CB"/>
    <w:rsid w:val="008D119B"/>
    <w:rsid w:val="008D45E3"/>
    <w:rsid w:val="008E3965"/>
    <w:rsid w:val="00903CE1"/>
    <w:rsid w:val="00912345"/>
    <w:rsid w:val="00922C2F"/>
    <w:rsid w:val="0093070D"/>
    <w:rsid w:val="00935D88"/>
    <w:rsid w:val="00937EE1"/>
    <w:rsid w:val="009400AF"/>
    <w:rsid w:val="0095349A"/>
    <w:rsid w:val="00955E3C"/>
    <w:rsid w:val="00961505"/>
    <w:rsid w:val="00983CE3"/>
    <w:rsid w:val="00985067"/>
    <w:rsid w:val="009B09B2"/>
    <w:rsid w:val="009C5051"/>
    <w:rsid w:val="009E7C57"/>
    <w:rsid w:val="00A025C2"/>
    <w:rsid w:val="00A06C51"/>
    <w:rsid w:val="00A12E29"/>
    <w:rsid w:val="00A23D01"/>
    <w:rsid w:val="00A2439C"/>
    <w:rsid w:val="00A27847"/>
    <w:rsid w:val="00A31275"/>
    <w:rsid w:val="00A32367"/>
    <w:rsid w:val="00A34F94"/>
    <w:rsid w:val="00A42DD0"/>
    <w:rsid w:val="00A4639C"/>
    <w:rsid w:val="00A67D82"/>
    <w:rsid w:val="00A722CB"/>
    <w:rsid w:val="00A92136"/>
    <w:rsid w:val="00A95BE2"/>
    <w:rsid w:val="00AA220B"/>
    <w:rsid w:val="00AB1A94"/>
    <w:rsid w:val="00AC2A98"/>
    <w:rsid w:val="00AD2D02"/>
    <w:rsid w:val="00AE2874"/>
    <w:rsid w:val="00AE65A8"/>
    <w:rsid w:val="00AF6AF5"/>
    <w:rsid w:val="00B00A87"/>
    <w:rsid w:val="00B20177"/>
    <w:rsid w:val="00B21B43"/>
    <w:rsid w:val="00B221D5"/>
    <w:rsid w:val="00B25E83"/>
    <w:rsid w:val="00B31B41"/>
    <w:rsid w:val="00B36863"/>
    <w:rsid w:val="00B4103B"/>
    <w:rsid w:val="00B54389"/>
    <w:rsid w:val="00B56DEE"/>
    <w:rsid w:val="00B67DCF"/>
    <w:rsid w:val="00B711B0"/>
    <w:rsid w:val="00B73D71"/>
    <w:rsid w:val="00B94A0F"/>
    <w:rsid w:val="00B95678"/>
    <w:rsid w:val="00BC2016"/>
    <w:rsid w:val="00BC5CB2"/>
    <w:rsid w:val="00BD41B8"/>
    <w:rsid w:val="00BD4868"/>
    <w:rsid w:val="00BE6646"/>
    <w:rsid w:val="00BE728B"/>
    <w:rsid w:val="00BE73B5"/>
    <w:rsid w:val="00BE7C3E"/>
    <w:rsid w:val="00BF5683"/>
    <w:rsid w:val="00BF655A"/>
    <w:rsid w:val="00C049A2"/>
    <w:rsid w:val="00C06308"/>
    <w:rsid w:val="00C12584"/>
    <w:rsid w:val="00C14CF7"/>
    <w:rsid w:val="00C17AFA"/>
    <w:rsid w:val="00C419E0"/>
    <w:rsid w:val="00C42285"/>
    <w:rsid w:val="00C46F87"/>
    <w:rsid w:val="00C56325"/>
    <w:rsid w:val="00C57E1C"/>
    <w:rsid w:val="00C615F3"/>
    <w:rsid w:val="00C6307C"/>
    <w:rsid w:val="00C65397"/>
    <w:rsid w:val="00C7456B"/>
    <w:rsid w:val="00C854B9"/>
    <w:rsid w:val="00C86A8D"/>
    <w:rsid w:val="00C90D6F"/>
    <w:rsid w:val="00C93B4F"/>
    <w:rsid w:val="00CA07C6"/>
    <w:rsid w:val="00CC00C1"/>
    <w:rsid w:val="00CC0706"/>
    <w:rsid w:val="00CC21D0"/>
    <w:rsid w:val="00CD1355"/>
    <w:rsid w:val="00CD75D8"/>
    <w:rsid w:val="00CE0746"/>
    <w:rsid w:val="00CE4CA4"/>
    <w:rsid w:val="00D229E7"/>
    <w:rsid w:val="00D24FD4"/>
    <w:rsid w:val="00D36E43"/>
    <w:rsid w:val="00D37336"/>
    <w:rsid w:val="00D60D84"/>
    <w:rsid w:val="00D63921"/>
    <w:rsid w:val="00D6655A"/>
    <w:rsid w:val="00D717D2"/>
    <w:rsid w:val="00D74C2E"/>
    <w:rsid w:val="00D83E8C"/>
    <w:rsid w:val="00DA089F"/>
    <w:rsid w:val="00DA0A48"/>
    <w:rsid w:val="00DA308F"/>
    <w:rsid w:val="00DA7837"/>
    <w:rsid w:val="00DC7863"/>
    <w:rsid w:val="00DF3827"/>
    <w:rsid w:val="00DF4DF5"/>
    <w:rsid w:val="00DF6E1C"/>
    <w:rsid w:val="00E2488D"/>
    <w:rsid w:val="00E3105E"/>
    <w:rsid w:val="00E33CF3"/>
    <w:rsid w:val="00E3640B"/>
    <w:rsid w:val="00E44ECD"/>
    <w:rsid w:val="00E622F9"/>
    <w:rsid w:val="00E63D85"/>
    <w:rsid w:val="00E655AA"/>
    <w:rsid w:val="00EA6CF0"/>
    <w:rsid w:val="00EF0881"/>
    <w:rsid w:val="00EF1843"/>
    <w:rsid w:val="00EF3F1D"/>
    <w:rsid w:val="00EF4263"/>
    <w:rsid w:val="00F0431A"/>
    <w:rsid w:val="00F10248"/>
    <w:rsid w:val="00F10F80"/>
    <w:rsid w:val="00F11ECD"/>
    <w:rsid w:val="00F13111"/>
    <w:rsid w:val="00F1657E"/>
    <w:rsid w:val="00F174C6"/>
    <w:rsid w:val="00F3295F"/>
    <w:rsid w:val="00F418F3"/>
    <w:rsid w:val="00F44E9D"/>
    <w:rsid w:val="00F56741"/>
    <w:rsid w:val="00F72C87"/>
    <w:rsid w:val="00F97178"/>
    <w:rsid w:val="00FD3AAB"/>
    <w:rsid w:val="00FF0B6F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DB0174"/>
  <w14:defaultImageDpi w14:val="300"/>
  <w15:docId w15:val="{86864CBC-4E74-6148-95B6-D9C7DFDB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16FB8"/>
    <w:pPr>
      <w:keepNext/>
      <w:outlineLvl w:val="0"/>
    </w:pPr>
    <w:rPr>
      <w:rFonts w:ascii="Times" w:eastAsia="Times" w:hAnsi="Times" w:cs="Times New Roman"/>
      <w:b/>
      <w:noProof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6FB8"/>
    <w:rPr>
      <w:rFonts w:ascii="Times" w:eastAsia="Times" w:hAnsi="Times" w:cs="Times New Roman"/>
      <w:b/>
      <w:noProof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rsid w:val="000A6D85"/>
    <w:pPr>
      <w:spacing w:line="360" w:lineRule="auto"/>
      <w:jc w:val="both"/>
    </w:pPr>
    <w:rPr>
      <w:rFonts w:ascii="Times" w:eastAsia="Times" w:hAnsi="Times" w:cs="Times New Roman"/>
      <w:noProof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A6D85"/>
    <w:rPr>
      <w:rFonts w:ascii="Times" w:eastAsia="Times" w:hAnsi="Times" w:cs="Times New Roman"/>
      <w:noProof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75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75D8"/>
  </w:style>
  <w:style w:type="paragraph" w:styleId="Testonotaapidipagina">
    <w:name w:val="footnote text"/>
    <w:basedOn w:val="Normale"/>
    <w:link w:val="TestonotaapidipaginaCarattere"/>
    <w:uiPriority w:val="99"/>
    <w:unhideWhenUsed/>
    <w:rsid w:val="00DF6E1C"/>
    <w:rPr>
      <w:rFonts w:ascii="Times" w:eastAsia="Times" w:hAnsi="Times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6E1C"/>
    <w:rPr>
      <w:rFonts w:ascii="Times" w:eastAsia="Times" w:hAnsi="Times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FB46C-BFA9-8F43-86A8-47C92B1C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3251</Words>
  <Characters>18536</Characters>
  <Application>Microsoft Office Word</Application>
  <DocSecurity>0</DocSecurity>
  <Lines>154</Lines>
  <Paragraphs>43</Paragraphs>
  <ScaleCrop>false</ScaleCrop>
  <Company/>
  <LinksUpToDate>false</LinksUpToDate>
  <CharactersWithSpaces>21744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Albanese</dc:creator>
  <cp:keywords/>
  <dc:description/>
  <cp:lastModifiedBy>Utente di Microsoft Office</cp:lastModifiedBy>
  <cp:revision>3</cp:revision>
  <dcterms:created xsi:type="dcterms:W3CDTF">2015-10-18T17:44:00Z</dcterms:created>
  <dcterms:modified xsi:type="dcterms:W3CDTF">2024-11-04T09:26:00Z</dcterms:modified>
</cp:coreProperties>
</file>